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8D" w:rsidRPr="00DD6E0F" w:rsidRDefault="00C440A4" w:rsidP="00B047ED">
      <w:pPr>
        <w:spacing w:line="240" w:lineRule="auto"/>
        <w:ind w:left="0"/>
        <w:jc w:val="center"/>
        <w:rPr>
          <w:rFonts w:cs="Arial"/>
          <w:sz w:val="32"/>
          <w:szCs w:val="32"/>
          <w:u w:val="none"/>
        </w:rPr>
      </w:pPr>
      <w:r w:rsidRPr="00DD6E0F">
        <w:rPr>
          <w:rFonts w:cs="Arial"/>
          <w:sz w:val="32"/>
          <w:szCs w:val="32"/>
          <w:u w:val="none"/>
        </w:rPr>
        <w:t>Definice ukazatelů</w:t>
      </w:r>
      <w:r w:rsidR="00DD6E0F">
        <w:rPr>
          <w:rFonts w:cs="Arial"/>
          <w:sz w:val="32"/>
          <w:szCs w:val="32"/>
          <w:u w:val="none"/>
        </w:rPr>
        <w:t xml:space="preserve"> výstupů </w:t>
      </w:r>
      <w:r w:rsidR="00DD6E0F" w:rsidRPr="00DD6E0F">
        <w:rPr>
          <w:rFonts w:cs="Arial"/>
          <w:sz w:val="32"/>
          <w:szCs w:val="32"/>
          <w:u w:val="none"/>
        </w:rPr>
        <w:t>projektů</w:t>
      </w:r>
    </w:p>
    <w:p w:rsidR="004B11C9" w:rsidRPr="00473E8F" w:rsidRDefault="004B11C9">
      <w:pPr>
        <w:rPr>
          <w:sz w:val="12"/>
        </w:rPr>
      </w:pPr>
    </w:p>
    <w:tbl>
      <w:tblPr>
        <w:tblW w:w="13750" w:type="dxa"/>
        <w:tblInd w:w="5" w:type="dxa"/>
        <w:tblLayout w:type="fixed"/>
        <w:tblCellMar>
          <w:top w:w="44" w:type="dxa"/>
          <w:left w:w="0" w:type="dxa"/>
          <w:right w:w="69" w:type="dxa"/>
        </w:tblCellMar>
        <w:tblLook w:val="04A0"/>
      </w:tblPr>
      <w:tblGrid>
        <w:gridCol w:w="2410"/>
        <w:gridCol w:w="1559"/>
        <w:gridCol w:w="93"/>
        <w:gridCol w:w="9688"/>
      </w:tblGrid>
      <w:tr w:rsidR="00920F8D" w:rsidTr="006958F3">
        <w:trPr>
          <w:trHeight w:val="176"/>
        </w:trPr>
        <w:tc>
          <w:tcPr>
            <w:tcW w:w="2410" w:type="dxa"/>
            <w:tcBorders>
              <w:top w:val="single" w:sz="4" w:space="0" w:color="000000"/>
              <w:left w:val="single" w:sz="4" w:space="0" w:color="000000"/>
              <w:bottom w:val="single" w:sz="4" w:space="0" w:color="000000"/>
              <w:right w:val="nil"/>
            </w:tcBorders>
            <w:shd w:val="clear" w:color="auto" w:fill="FABF8F"/>
          </w:tcPr>
          <w:p w:rsidR="00920F8D" w:rsidRDefault="00473E8F" w:rsidP="006958F3">
            <w:pPr>
              <w:spacing w:after="160" w:line="240" w:lineRule="auto"/>
              <w:ind w:left="0"/>
            </w:pPr>
            <w:r w:rsidRPr="006958F3">
              <w:rPr>
                <w:sz w:val="28"/>
                <w:u w:val="none"/>
              </w:rPr>
              <w:t>Prioritní osa 2</w:t>
            </w:r>
          </w:p>
        </w:tc>
        <w:tc>
          <w:tcPr>
            <w:tcW w:w="1559" w:type="dxa"/>
            <w:tcBorders>
              <w:top w:val="single" w:sz="4" w:space="0" w:color="000000"/>
              <w:left w:val="nil"/>
              <w:bottom w:val="single" w:sz="4" w:space="0" w:color="000000"/>
              <w:right w:val="nil"/>
            </w:tcBorders>
            <w:shd w:val="clear" w:color="auto" w:fill="FABF8F"/>
          </w:tcPr>
          <w:p w:rsidR="00920F8D" w:rsidRDefault="00920F8D" w:rsidP="006958F3">
            <w:pPr>
              <w:spacing w:after="160" w:line="240" w:lineRule="auto"/>
              <w:ind w:left="0"/>
            </w:pPr>
          </w:p>
        </w:tc>
        <w:tc>
          <w:tcPr>
            <w:tcW w:w="9781" w:type="dxa"/>
            <w:gridSpan w:val="2"/>
            <w:tcBorders>
              <w:top w:val="single" w:sz="4" w:space="0" w:color="000000"/>
              <w:left w:val="nil"/>
              <w:bottom w:val="single" w:sz="4" w:space="0" w:color="000000"/>
              <w:right w:val="single" w:sz="4" w:space="0" w:color="000000"/>
            </w:tcBorders>
            <w:shd w:val="clear" w:color="auto" w:fill="FABF8F"/>
          </w:tcPr>
          <w:p w:rsidR="00920F8D" w:rsidRPr="004B11C9" w:rsidRDefault="00920F8D" w:rsidP="006958F3">
            <w:pPr>
              <w:spacing w:line="240" w:lineRule="auto"/>
              <w:ind w:left="0"/>
            </w:pPr>
          </w:p>
        </w:tc>
      </w:tr>
      <w:tr w:rsidR="00920F8D" w:rsidTr="001245AC">
        <w:trPr>
          <w:trHeight w:val="2056"/>
        </w:trPr>
        <w:tc>
          <w:tcPr>
            <w:tcW w:w="2410" w:type="dxa"/>
            <w:tcBorders>
              <w:top w:val="single" w:sz="4" w:space="0" w:color="000000"/>
              <w:left w:val="single" w:sz="4" w:space="0" w:color="000000"/>
              <w:bottom w:val="single" w:sz="4" w:space="0" w:color="000000"/>
              <w:right w:val="single" w:sz="4" w:space="0" w:color="000000"/>
            </w:tcBorders>
          </w:tcPr>
          <w:p w:rsidR="00473E8F" w:rsidRDefault="004B11C9" w:rsidP="006958F3">
            <w:pPr>
              <w:spacing w:line="240" w:lineRule="auto"/>
              <w:ind w:left="106"/>
            </w:pPr>
            <w:r w:rsidRPr="006958F3">
              <w:rPr>
                <w:u w:val="none"/>
              </w:rPr>
              <w:t>Počet elementů kulturního /</w:t>
            </w:r>
            <w:r w:rsidR="00473E8F" w:rsidRPr="006958F3">
              <w:rPr>
                <w:u w:val="none"/>
              </w:rPr>
              <w:t xml:space="preserve"> </w:t>
            </w:r>
            <w:r w:rsidRPr="006958F3">
              <w:rPr>
                <w:u w:val="none"/>
              </w:rPr>
              <w:t>přírodního bohatství se zvýšenou atraktivitou</w:t>
            </w:r>
          </w:p>
          <w:p w:rsidR="00473E8F" w:rsidRPr="00473E8F" w:rsidRDefault="00473E8F" w:rsidP="006958F3">
            <w:pPr>
              <w:spacing w:line="240" w:lineRule="auto"/>
            </w:pPr>
          </w:p>
          <w:p w:rsidR="00473E8F" w:rsidRPr="00473E8F" w:rsidRDefault="00473E8F" w:rsidP="006958F3">
            <w:pPr>
              <w:spacing w:line="240" w:lineRule="auto"/>
            </w:pPr>
          </w:p>
          <w:p w:rsidR="00473E8F" w:rsidRDefault="00473E8F" w:rsidP="006958F3">
            <w:pPr>
              <w:spacing w:line="240" w:lineRule="auto"/>
            </w:pPr>
          </w:p>
          <w:p w:rsidR="00473E8F" w:rsidRPr="00473E8F" w:rsidRDefault="00473E8F" w:rsidP="006958F3">
            <w:pPr>
              <w:spacing w:line="240" w:lineRule="auto"/>
            </w:pPr>
          </w:p>
          <w:p w:rsidR="00473E8F" w:rsidRDefault="00473E8F" w:rsidP="006958F3">
            <w:pPr>
              <w:spacing w:line="240" w:lineRule="auto"/>
            </w:pPr>
          </w:p>
          <w:p w:rsidR="00920F8D" w:rsidRPr="00473E8F" w:rsidRDefault="00920F8D" w:rsidP="006958F3">
            <w:pPr>
              <w:spacing w:line="240" w:lineRule="auto"/>
            </w:pPr>
          </w:p>
        </w:tc>
        <w:tc>
          <w:tcPr>
            <w:tcW w:w="1559" w:type="dxa"/>
            <w:tcBorders>
              <w:top w:val="single" w:sz="4" w:space="0" w:color="000000"/>
              <w:left w:val="single" w:sz="4" w:space="0" w:color="000000"/>
              <w:bottom w:val="single" w:sz="4" w:space="0" w:color="000000"/>
              <w:right w:val="nil"/>
            </w:tcBorders>
          </w:tcPr>
          <w:p w:rsidR="00920F8D" w:rsidRPr="00023D34" w:rsidRDefault="004B11C9" w:rsidP="006958F3">
            <w:pPr>
              <w:spacing w:line="240" w:lineRule="auto"/>
              <w:ind w:left="108"/>
            </w:pPr>
            <w:r w:rsidRPr="006958F3">
              <w:rPr>
                <w:u w:val="none"/>
              </w:rPr>
              <w:t>elementy</w:t>
            </w:r>
          </w:p>
        </w:tc>
        <w:tc>
          <w:tcPr>
            <w:tcW w:w="93" w:type="dxa"/>
            <w:tcBorders>
              <w:top w:val="single" w:sz="4" w:space="0" w:color="000000"/>
              <w:left w:val="nil"/>
              <w:bottom w:val="single" w:sz="4" w:space="0" w:color="000000"/>
              <w:right w:val="single" w:sz="4" w:space="0" w:color="000000"/>
            </w:tcBorders>
          </w:tcPr>
          <w:p w:rsidR="00920F8D" w:rsidRDefault="00920F8D" w:rsidP="006958F3">
            <w:pPr>
              <w:spacing w:after="160" w:line="240" w:lineRule="auto"/>
              <w:ind w:left="0"/>
            </w:pPr>
          </w:p>
        </w:tc>
        <w:tc>
          <w:tcPr>
            <w:tcW w:w="9688" w:type="dxa"/>
            <w:tcBorders>
              <w:top w:val="single" w:sz="4" w:space="0" w:color="000000"/>
              <w:left w:val="single" w:sz="4" w:space="0" w:color="000000"/>
              <w:bottom w:val="single" w:sz="4" w:space="0" w:color="000000"/>
              <w:right w:val="single" w:sz="4" w:space="0" w:color="000000"/>
            </w:tcBorders>
          </w:tcPr>
          <w:p w:rsidR="004B11C9" w:rsidRPr="004B11C9" w:rsidRDefault="004B11C9" w:rsidP="006958F3">
            <w:pPr>
              <w:spacing w:line="240" w:lineRule="auto"/>
              <w:ind w:left="110"/>
            </w:pPr>
            <w:r w:rsidRPr="006958F3">
              <w:rPr>
                <w:sz w:val="20"/>
              </w:rPr>
              <w:t xml:space="preserve">PROJEKT: </w:t>
            </w:r>
          </w:p>
          <w:p w:rsidR="004B11C9" w:rsidRPr="006958F3" w:rsidRDefault="004B11C9" w:rsidP="006958F3">
            <w:pPr>
              <w:spacing w:line="240" w:lineRule="auto"/>
              <w:ind w:left="110"/>
              <w:rPr>
                <w:b w:val="0"/>
                <w:sz w:val="20"/>
                <w:u w:val="none"/>
              </w:rPr>
            </w:pPr>
            <w:r w:rsidRPr="006958F3">
              <w:rPr>
                <w:b w:val="0"/>
                <w:sz w:val="20"/>
              </w:rPr>
              <w:t>„</w:t>
            </w:r>
            <w:r w:rsidRPr="006958F3">
              <w:rPr>
                <w:b w:val="0"/>
                <w:sz w:val="20"/>
                <w:u w:val="none"/>
              </w:rPr>
              <w:t>Element“ je chápán jako konkrétní hmotné či nehmotné dědictví – nemovitá či movitá památka, národní park či přírodní prvek (v ČR</w:t>
            </w:r>
            <w:r>
              <w:t xml:space="preserve"> </w:t>
            </w:r>
            <w:r w:rsidRPr="006958F3">
              <w:rPr>
                <w:b w:val="0"/>
                <w:sz w:val="20"/>
                <w:u w:val="none"/>
              </w:rPr>
              <w:t xml:space="preserve">typicky např. přírodní/národní přírodní památky), tradiční festival, lidová tradice atd. </w:t>
            </w:r>
          </w:p>
          <w:p w:rsidR="00473E8F" w:rsidRPr="006958F3" w:rsidRDefault="004B11C9" w:rsidP="006958F3">
            <w:pPr>
              <w:spacing w:line="240" w:lineRule="auto"/>
              <w:ind w:left="110"/>
              <w:rPr>
                <w:b w:val="0"/>
                <w:sz w:val="20"/>
                <w:u w:val="none"/>
              </w:rPr>
            </w:pPr>
            <w:r w:rsidRPr="006958F3">
              <w:rPr>
                <w:b w:val="0"/>
                <w:sz w:val="20"/>
                <w:u w:val="none"/>
              </w:rPr>
              <w:t>Musí zahrnovat jak prvek odkazující na dědictví (tj. čehosi co je přenášeno mezi generacemi a je pevně a dlouhodobě ukotveno v území a/nebo jeho socioekonomickém prostředí) tak také prvek společného, tj. existence pojítka, něčeho, proč lze považovat tento element za společný, dotýkající se území a obyvatel na obou stranách hranice.</w:t>
            </w:r>
          </w:p>
          <w:p w:rsidR="004B11C9" w:rsidRPr="006958F3" w:rsidRDefault="004B11C9" w:rsidP="006958F3">
            <w:pPr>
              <w:spacing w:line="240" w:lineRule="auto"/>
              <w:ind w:left="110"/>
              <w:rPr>
                <w:b w:val="0"/>
                <w:sz w:val="20"/>
                <w:u w:val="none"/>
              </w:rPr>
            </w:pPr>
            <w:r w:rsidRPr="006958F3">
              <w:rPr>
                <w:b w:val="0"/>
                <w:sz w:val="20"/>
                <w:u w:val="none"/>
              </w:rPr>
              <w:t xml:space="preserve">Indikátor naplňuje jak projekt, v jehož rámci dojde k bezprostřednímu zlepšení stavu konkrétního prvku přírodního/kulturního dědictví (např. rekonstrukce kulturních památek, sakrálních staveb, „rekultivace“ zdevastované přírodní památky apod.), ale například i podpořený prvek nehmotného dědictví, u kterého nemusí dojít nutně ke zlepšení stavu, ale např. k jeho obnovení, oživení, zpropagování tak, aby tento prvek (lidová tradice apod.) přežil a dále se rozvíjel. </w:t>
            </w:r>
          </w:p>
          <w:p w:rsidR="00492C8A" w:rsidRPr="006958F3" w:rsidRDefault="00492C8A" w:rsidP="006958F3">
            <w:pPr>
              <w:spacing w:line="240" w:lineRule="auto"/>
              <w:ind w:left="110"/>
              <w:rPr>
                <w:b w:val="0"/>
                <w:sz w:val="20"/>
                <w:u w:val="none"/>
              </w:rPr>
            </w:pPr>
          </w:p>
          <w:p w:rsidR="004B11C9" w:rsidRPr="006958F3" w:rsidRDefault="004B11C9" w:rsidP="006958F3">
            <w:pPr>
              <w:spacing w:line="240" w:lineRule="auto"/>
              <w:ind w:left="110"/>
              <w:rPr>
                <w:sz w:val="20"/>
                <w:u w:val="none"/>
              </w:rPr>
            </w:pPr>
            <w:r w:rsidRPr="006958F3">
              <w:rPr>
                <w:sz w:val="20"/>
                <w:u w:val="none"/>
              </w:rPr>
              <w:t xml:space="preserve">PROGRAM: </w:t>
            </w:r>
          </w:p>
          <w:p w:rsidR="00165575" w:rsidRDefault="004B11C9" w:rsidP="006958F3">
            <w:pPr>
              <w:spacing w:line="240" w:lineRule="auto"/>
              <w:ind w:left="110"/>
              <w:rPr>
                <w:b w:val="0"/>
                <w:sz w:val="20"/>
                <w:u w:val="none"/>
              </w:rPr>
            </w:pPr>
            <w:r w:rsidRPr="006958F3">
              <w:rPr>
                <w:b w:val="0"/>
                <w:sz w:val="20"/>
                <w:u w:val="none"/>
              </w:rPr>
              <w:t>Prostý součet hodnot indikátorů za projekty</w:t>
            </w:r>
          </w:p>
          <w:p w:rsidR="001245AC" w:rsidRPr="001245AC" w:rsidRDefault="001245AC" w:rsidP="001245AC">
            <w:pPr>
              <w:spacing w:line="240" w:lineRule="auto"/>
              <w:ind w:left="0"/>
              <w:rPr>
                <w:sz w:val="20"/>
                <w:u w:val="none"/>
              </w:rPr>
            </w:pPr>
          </w:p>
          <w:p w:rsidR="001245AC" w:rsidRDefault="001245AC" w:rsidP="00926A59">
            <w:pPr>
              <w:spacing w:line="240" w:lineRule="auto"/>
              <w:ind w:left="110"/>
            </w:pPr>
          </w:p>
        </w:tc>
      </w:tr>
      <w:tr w:rsidR="00920F8D" w:rsidTr="006958F3">
        <w:trPr>
          <w:trHeight w:val="781"/>
        </w:trPr>
        <w:tc>
          <w:tcPr>
            <w:tcW w:w="2410" w:type="dxa"/>
            <w:tcBorders>
              <w:top w:val="single" w:sz="4" w:space="0" w:color="000000"/>
              <w:left w:val="single" w:sz="4" w:space="0" w:color="000000"/>
              <w:bottom w:val="single" w:sz="4" w:space="0" w:color="000000"/>
              <w:right w:val="single" w:sz="4" w:space="0" w:color="000000"/>
            </w:tcBorders>
          </w:tcPr>
          <w:p w:rsidR="004B11C9" w:rsidRPr="00023D34" w:rsidRDefault="004B11C9" w:rsidP="006958F3">
            <w:pPr>
              <w:spacing w:line="240" w:lineRule="auto"/>
              <w:ind w:left="142"/>
            </w:pPr>
            <w:r w:rsidRPr="006958F3">
              <w:rPr>
                <w:u w:val="none"/>
              </w:rPr>
              <w:t>Počet elementů infrastruktury zpřístupňující/</w:t>
            </w:r>
            <w:r w:rsidR="00473E8F" w:rsidRPr="006958F3">
              <w:rPr>
                <w:u w:val="none"/>
              </w:rPr>
              <w:t xml:space="preserve"> </w:t>
            </w:r>
            <w:r w:rsidRPr="006958F3">
              <w:rPr>
                <w:u w:val="none"/>
              </w:rPr>
              <w:t xml:space="preserve">zvyšující využití přírodního a kulturního dědictví </w:t>
            </w:r>
          </w:p>
          <w:p w:rsidR="00920F8D" w:rsidRPr="00023D34" w:rsidRDefault="00920F8D" w:rsidP="006958F3">
            <w:pPr>
              <w:spacing w:line="240" w:lineRule="auto"/>
              <w:ind w:left="106"/>
            </w:pPr>
          </w:p>
        </w:tc>
        <w:tc>
          <w:tcPr>
            <w:tcW w:w="1559" w:type="dxa"/>
            <w:tcBorders>
              <w:top w:val="single" w:sz="4" w:space="0" w:color="000000"/>
              <w:left w:val="single" w:sz="4" w:space="0" w:color="000000"/>
              <w:bottom w:val="single" w:sz="4" w:space="0" w:color="000000"/>
              <w:right w:val="nil"/>
            </w:tcBorders>
          </w:tcPr>
          <w:p w:rsidR="00920F8D" w:rsidRPr="00023D34" w:rsidRDefault="004B11C9" w:rsidP="006958F3">
            <w:pPr>
              <w:spacing w:line="240" w:lineRule="auto"/>
              <w:ind w:left="108"/>
            </w:pPr>
            <w:r w:rsidRPr="006958F3">
              <w:rPr>
                <w:u w:val="none"/>
              </w:rPr>
              <w:t>elementy</w:t>
            </w:r>
          </w:p>
        </w:tc>
        <w:tc>
          <w:tcPr>
            <w:tcW w:w="93" w:type="dxa"/>
            <w:tcBorders>
              <w:top w:val="single" w:sz="4" w:space="0" w:color="000000"/>
              <w:left w:val="nil"/>
              <w:bottom w:val="single" w:sz="4" w:space="0" w:color="000000"/>
              <w:right w:val="single" w:sz="4" w:space="0" w:color="000000"/>
            </w:tcBorders>
          </w:tcPr>
          <w:p w:rsidR="00920F8D" w:rsidRDefault="00920F8D" w:rsidP="006958F3">
            <w:pPr>
              <w:spacing w:after="160" w:line="240" w:lineRule="auto"/>
              <w:ind w:left="0"/>
            </w:pPr>
          </w:p>
        </w:tc>
        <w:tc>
          <w:tcPr>
            <w:tcW w:w="9688" w:type="dxa"/>
            <w:tcBorders>
              <w:top w:val="single" w:sz="4" w:space="0" w:color="000000"/>
              <w:left w:val="single" w:sz="4" w:space="0" w:color="000000"/>
              <w:bottom w:val="single" w:sz="4" w:space="0" w:color="000000"/>
              <w:right w:val="single" w:sz="4" w:space="0" w:color="000000"/>
            </w:tcBorders>
          </w:tcPr>
          <w:p w:rsidR="004B11C9" w:rsidRPr="006958F3" w:rsidRDefault="004B11C9" w:rsidP="006958F3">
            <w:pPr>
              <w:spacing w:line="240" w:lineRule="auto"/>
              <w:ind w:left="110"/>
              <w:rPr>
                <w:sz w:val="20"/>
              </w:rPr>
            </w:pPr>
            <w:r w:rsidRPr="006958F3">
              <w:rPr>
                <w:sz w:val="20"/>
              </w:rPr>
              <w:t xml:space="preserve">PROJEKT: </w:t>
            </w:r>
          </w:p>
          <w:p w:rsidR="004B11C9" w:rsidRPr="006958F3" w:rsidRDefault="004B11C9" w:rsidP="006958F3">
            <w:pPr>
              <w:spacing w:line="240" w:lineRule="auto"/>
              <w:ind w:left="110"/>
              <w:rPr>
                <w:b w:val="0"/>
                <w:sz w:val="20"/>
                <w:u w:val="none"/>
              </w:rPr>
            </w:pPr>
            <w:r w:rsidRPr="006958F3">
              <w:rPr>
                <w:b w:val="0"/>
                <w:sz w:val="20"/>
                <w:u w:val="none"/>
              </w:rPr>
              <w:t xml:space="preserve">Element je zde chápán jako konkrétní, zpravidla hmotný prvek nebo soustava dílčích prvků, který zpřístupní / usnadní poznání a využití konkrétní součásti společného přírodního a kulturního dědictví – definice společného dědictví viz též indikátor </w:t>
            </w:r>
            <w:r w:rsidR="0077180C" w:rsidRPr="006958F3">
              <w:rPr>
                <w:b w:val="0"/>
                <w:sz w:val="20"/>
                <w:u w:val="none"/>
              </w:rPr>
              <w:t>níže</w:t>
            </w:r>
            <w:r w:rsidRPr="006958F3">
              <w:rPr>
                <w:b w:val="0"/>
                <w:sz w:val="20"/>
                <w:u w:val="none"/>
              </w:rPr>
              <w:t xml:space="preserve">) </w:t>
            </w:r>
          </w:p>
          <w:p w:rsidR="00920F8D" w:rsidRPr="006958F3" w:rsidRDefault="004B11C9" w:rsidP="006958F3">
            <w:pPr>
              <w:spacing w:line="240" w:lineRule="auto"/>
              <w:ind w:left="110"/>
              <w:rPr>
                <w:b w:val="0"/>
                <w:sz w:val="20"/>
                <w:u w:val="none"/>
              </w:rPr>
            </w:pPr>
            <w:r w:rsidRPr="006958F3">
              <w:rPr>
                <w:b w:val="0"/>
                <w:sz w:val="20"/>
                <w:u w:val="none"/>
              </w:rPr>
              <w:t xml:space="preserve">Např. infrastruktura nacházející se v oblastech a směřující k objektům, </w:t>
            </w:r>
            <w:r w:rsidR="00473E8F" w:rsidRPr="006958F3">
              <w:rPr>
                <w:b w:val="0"/>
                <w:sz w:val="20"/>
                <w:u w:val="none"/>
              </w:rPr>
              <w:t xml:space="preserve">které lze považovat za součást </w:t>
            </w:r>
            <w:r w:rsidRPr="006958F3">
              <w:rPr>
                <w:b w:val="0"/>
                <w:sz w:val="20"/>
                <w:u w:val="none"/>
              </w:rPr>
              <w:t>dědictví – cyklostezky, naučné stezky a další infrastruktura a vybavení, které přiblíží přírodní a kulturní dědictví návštěvníkům; může se také jednat i o prostory shromažďující a zpřístupňující dědictví společného regionu – např. muzea. Mohou to být i nehmotné prvky např. databáze a další nástroje, jejichž prostřednictvím bude možné poznávat společné přírodní a kulturní dědictví i prostřednictvím vzdáleného přístupu apod.</w:t>
            </w:r>
          </w:p>
          <w:p w:rsidR="004B11C9" w:rsidRPr="006958F3" w:rsidRDefault="004B11C9" w:rsidP="006958F3">
            <w:pPr>
              <w:spacing w:line="240" w:lineRule="auto"/>
              <w:ind w:left="110"/>
              <w:rPr>
                <w:b w:val="0"/>
                <w:sz w:val="20"/>
                <w:u w:val="none"/>
              </w:rPr>
            </w:pPr>
            <w:r w:rsidRPr="006958F3">
              <w:rPr>
                <w:b w:val="0"/>
                <w:sz w:val="20"/>
                <w:u w:val="none"/>
              </w:rPr>
              <w:t xml:space="preserve">Pokud se bude jednat o sadu jednotlivých (obvykle drobnějších) prvků infrastruktury, které spolu tvoří nějaký logický či vzájemně se doplňující celek, soustavu příbuzných elementů, pak bude do indikátoru započítán pouze jako jeden (např. jednotlivé prvky venkovního inventáře v areálu kulturní památky, které mají usnadnit a zpřístupnit památku dalším skupinám – např. stojany pro kola, drobnější infrastruktura usnadňující návštěvu kulturní památky pro hendikepované apod.), </w:t>
            </w:r>
            <w:r w:rsidRPr="00926A59">
              <w:rPr>
                <w:b w:val="0"/>
                <w:color w:val="auto"/>
                <w:sz w:val="20"/>
                <w:u w:val="none"/>
              </w:rPr>
              <w:t>stejně tak pokud bude součástí projektu nějaká nosná infrastruktura (např. cyklostezka), u níž bude umístěn drobnější inventář (např. stojany pro kola, informační tabule apod.), jedná se o jeden prvek tvořící logický celek umožňující jako celek poznání příslušné součásti dědictví.</w:t>
            </w:r>
            <w:r w:rsidRPr="006958F3">
              <w:rPr>
                <w:b w:val="0"/>
                <w:sz w:val="20"/>
                <w:u w:val="none"/>
              </w:rPr>
              <w:t xml:space="preserve"> </w:t>
            </w:r>
          </w:p>
          <w:p w:rsidR="006958F3" w:rsidRPr="006958F3" w:rsidRDefault="006958F3" w:rsidP="00B97412">
            <w:pPr>
              <w:spacing w:line="240" w:lineRule="auto"/>
              <w:ind w:left="0"/>
              <w:rPr>
                <w:b w:val="0"/>
                <w:sz w:val="20"/>
                <w:u w:val="none"/>
              </w:rPr>
            </w:pPr>
          </w:p>
          <w:p w:rsidR="004B11C9" w:rsidRPr="006958F3" w:rsidRDefault="004B11C9" w:rsidP="006958F3">
            <w:pPr>
              <w:spacing w:line="240" w:lineRule="auto"/>
              <w:ind w:left="110"/>
              <w:rPr>
                <w:sz w:val="20"/>
                <w:u w:val="none"/>
              </w:rPr>
            </w:pPr>
            <w:r w:rsidRPr="006958F3">
              <w:rPr>
                <w:sz w:val="20"/>
                <w:u w:val="none"/>
              </w:rPr>
              <w:t xml:space="preserve">PROGRAM: </w:t>
            </w:r>
          </w:p>
          <w:p w:rsidR="00B97412" w:rsidRPr="00B97412" w:rsidRDefault="004B11C9" w:rsidP="00B97412">
            <w:pPr>
              <w:spacing w:line="240" w:lineRule="auto"/>
              <w:ind w:left="110"/>
              <w:rPr>
                <w:b w:val="0"/>
                <w:sz w:val="20"/>
                <w:u w:val="none"/>
              </w:rPr>
            </w:pPr>
            <w:r w:rsidRPr="006958F3">
              <w:rPr>
                <w:b w:val="0"/>
                <w:sz w:val="20"/>
                <w:u w:val="none"/>
              </w:rPr>
              <w:t>Prostý součet hodnot indikátorů za projekty</w:t>
            </w:r>
          </w:p>
          <w:p w:rsidR="00B97412" w:rsidRDefault="00B97412" w:rsidP="00926A59">
            <w:pPr>
              <w:spacing w:line="240" w:lineRule="auto"/>
              <w:ind w:left="0"/>
            </w:pPr>
          </w:p>
        </w:tc>
      </w:tr>
      <w:tr w:rsidR="00267A5B" w:rsidTr="006958F3">
        <w:trPr>
          <w:trHeight w:val="3216"/>
        </w:trPr>
        <w:tc>
          <w:tcPr>
            <w:tcW w:w="2410" w:type="dxa"/>
            <w:tcBorders>
              <w:top w:val="single" w:sz="4" w:space="0" w:color="000000"/>
              <w:left w:val="single" w:sz="4" w:space="0" w:color="000000"/>
              <w:bottom w:val="single" w:sz="4" w:space="0" w:color="000000"/>
              <w:right w:val="single" w:sz="4" w:space="0" w:color="000000"/>
            </w:tcBorders>
          </w:tcPr>
          <w:p w:rsidR="00267A5B" w:rsidRPr="00267A5B" w:rsidRDefault="00267A5B" w:rsidP="006958F3">
            <w:pPr>
              <w:spacing w:line="240" w:lineRule="auto"/>
              <w:ind w:left="142"/>
            </w:pPr>
            <w:r w:rsidRPr="006958F3">
              <w:rPr>
                <w:u w:val="none"/>
              </w:rPr>
              <w:lastRenderedPageBreak/>
              <w:t xml:space="preserve">Počet realizovaných společných mechanismů v oblasti přírodního a </w:t>
            </w:r>
          </w:p>
          <w:p w:rsidR="00267A5B" w:rsidRPr="006958F3" w:rsidRDefault="00267A5B" w:rsidP="006958F3">
            <w:pPr>
              <w:spacing w:line="240" w:lineRule="auto"/>
              <w:ind w:left="142"/>
              <w:rPr>
                <w:u w:val="none"/>
              </w:rPr>
            </w:pPr>
            <w:r w:rsidRPr="006958F3">
              <w:rPr>
                <w:u w:val="none"/>
              </w:rPr>
              <w:t xml:space="preserve">kulturního dědictví  </w:t>
            </w:r>
          </w:p>
        </w:tc>
        <w:tc>
          <w:tcPr>
            <w:tcW w:w="1559" w:type="dxa"/>
            <w:tcBorders>
              <w:top w:val="single" w:sz="4" w:space="0" w:color="000000"/>
              <w:left w:val="single" w:sz="4" w:space="0" w:color="000000"/>
              <w:bottom w:val="single" w:sz="4" w:space="0" w:color="000000"/>
              <w:right w:val="nil"/>
            </w:tcBorders>
          </w:tcPr>
          <w:p w:rsidR="00267A5B" w:rsidRPr="006958F3" w:rsidRDefault="009B7079" w:rsidP="006958F3">
            <w:pPr>
              <w:spacing w:line="240" w:lineRule="auto"/>
              <w:ind w:left="108"/>
              <w:rPr>
                <w:u w:val="none"/>
              </w:rPr>
            </w:pPr>
            <w:r w:rsidRPr="006958F3">
              <w:rPr>
                <w:u w:val="none"/>
              </w:rPr>
              <w:t>m</w:t>
            </w:r>
            <w:r w:rsidR="00267A5B" w:rsidRPr="006958F3">
              <w:rPr>
                <w:u w:val="none"/>
              </w:rPr>
              <w:t>echanismy</w:t>
            </w:r>
          </w:p>
        </w:tc>
        <w:tc>
          <w:tcPr>
            <w:tcW w:w="93" w:type="dxa"/>
            <w:tcBorders>
              <w:top w:val="single" w:sz="4" w:space="0" w:color="000000"/>
              <w:left w:val="nil"/>
              <w:bottom w:val="single" w:sz="4" w:space="0" w:color="000000"/>
              <w:right w:val="single" w:sz="4" w:space="0" w:color="000000"/>
            </w:tcBorders>
          </w:tcPr>
          <w:p w:rsidR="00267A5B" w:rsidRDefault="00267A5B" w:rsidP="006958F3">
            <w:pPr>
              <w:spacing w:after="160" w:line="240" w:lineRule="auto"/>
              <w:ind w:left="0"/>
            </w:pPr>
          </w:p>
        </w:tc>
        <w:tc>
          <w:tcPr>
            <w:tcW w:w="9688" w:type="dxa"/>
            <w:tcBorders>
              <w:top w:val="single" w:sz="4" w:space="0" w:color="000000"/>
              <w:left w:val="single" w:sz="4" w:space="0" w:color="000000"/>
              <w:bottom w:val="single" w:sz="4" w:space="0" w:color="000000"/>
              <w:right w:val="single" w:sz="4" w:space="0" w:color="000000"/>
            </w:tcBorders>
          </w:tcPr>
          <w:p w:rsidR="00267A5B" w:rsidRDefault="00267A5B" w:rsidP="006958F3">
            <w:pPr>
              <w:spacing w:line="240" w:lineRule="auto"/>
              <w:ind w:left="2"/>
            </w:pPr>
            <w:r w:rsidRPr="006958F3">
              <w:rPr>
                <w:sz w:val="20"/>
                <w:u w:val="none"/>
              </w:rPr>
              <w:t xml:space="preserve">  PROJEKT: </w:t>
            </w:r>
          </w:p>
          <w:p w:rsidR="009B7079" w:rsidRPr="006958F3" w:rsidRDefault="00267A5B" w:rsidP="006958F3">
            <w:pPr>
              <w:spacing w:after="1" w:line="277" w:lineRule="auto"/>
              <w:ind w:left="2"/>
              <w:rPr>
                <w:b w:val="0"/>
                <w:sz w:val="20"/>
                <w:u w:val="none"/>
              </w:rPr>
            </w:pPr>
            <w:r w:rsidRPr="006958F3">
              <w:rPr>
                <w:b w:val="0"/>
                <w:sz w:val="20"/>
                <w:u w:val="none"/>
              </w:rPr>
              <w:t xml:space="preserve">  Mechanismem se rozumí řešení nebo kombinace řešení připravených či realizovaných v rámci přeshraničního </w:t>
            </w:r>
            <w:r w:rsidR="009B7079" w:rsidRPr="006958F3">
              <w:rPr>
                <w:b w:val="0"/>
                <w:sz w:val="20"/>
                <w:u w:val="none"/>
              </w:rPr>
              <w:t xml:space="preserve">  </w:t>
            </w:r>
          </w:p>
          <w:p w:rsidR="0077180C" w:rsidRPr="006958F3" w:rsidRDefault="009B7079" w:rsidP="006958F3">
            <w:pPr>
              <w:spacing w:after="1" w:line="277" w:lineRule="auto"/>
              <w:ind w:left="2"/>
              <w:rPr>
                <w:b w:val="0"/>
                <w:sz w:val="20"/>
                <w:u w:val="none"/>
              </w:rPr>
            </w:pPr>
            <w:r w:rsidRPr="006958F3">
              <w:rPr>
                <w:b w:val="0"/>
                <w:sz w:val="20"/>
                <w:u w:val="none"/>
              </w:rPr>
              <w:t xml:space="preserve">  </w:t>
            </w:r>
            <w:r w:rsidR="00267A5B" w:rsidRPr="006958F3">
              <w:rPr>
                <w:b w:val="0"/>
                <w:sz w:val="20"/>
                <w:u w:val="none"/>
              </w:rPr>
              <w:t>projektu, jež</w:t>
            </w:r>
            <w:r w:rsidR="0077180C" w:rsidRPr="006958F3">
              <w:rPr>
                <w:b w:val="0"/>
                <w:sz w:val="20"/>
                <w:u w:val="none"/>
              </w:rPr>
              <w:t xml:space="preserve"> </w:t>
            </w:r>
            <w:r w:rsidR="00267A5B" w:rsidRPr="006958F3">
              <w:rPr>
                <w:b w:val="0"/>
                <w:sz w:val="20"/>
                <w:u w:val="none"/>
              </w:rPr>
              <w:t xml:space="preserve">cílí na společné výzvy (potřeby či potenciály) v přeshraničním území v oblasti využití kulturního a </w:t>
            </w:r>
            <w:r w:rsidR="0077180C" w:rsidRPr="006958F3">
              <w:rPr>
                <w:b w:val="0"/>
                <w:sz w:val="20"/>
                <w:u w:val="none"/>
              </w:rPr>
              <w:t xml:space="preserve">  </w:t>
            </w:r>
          </w:p>
          <w:p w:rsidR="00267A5B" w:rsidRDefault="0077180C" w:rsidP="006958F3">
            <w:pPr>
              <w:spacing w:after="1" w:line="277" w:lineRule="auto"/>
              <w:ind w:left="2"/>
            </w:pPr>
            <w:r w:rsidRPr="006958F3">
              <w:rPr>
                <w:b w:val="0"/>
                <w:sz w:val="20"/>
                <w:u w:val="none"/>
              </w:rPr>
              <w:t xml:space="preserve">  </w:t>
            </w:r>
            <w:r w:rsidR="00267A5B" w:rsidRPr="006958F3">
              <w:rPr>
                <w:b w:val="0"/>
                <w:sz w:val="20"/>
                <w:u w:val="none"/>
              </w:rPr>
              <w:t>přírodního dědictví</w:t>
            </w:r>
            <w:r w:rsidRPr="006958F3">
              <w:rPr>
                <w:b w:val="0"/>
                <w:sz w:val="20"/>
                <w:u w:val="none"/>
              </w:rPr>
              <w:t xml:space="preserve"> </w:t>
            </w:r>
            <w:r w:rsidR="00267A5B" w:rsidRPr="006958F3">
              <w:rPr>
                <w:b w:val="0"/>
                <w:sz w:val="20"/>
                <w:u w:val="none"/>
              </w:rPr>
              <w:t xml:space="preserve">příhraničního regionu.  </w:t>
            </w:r>
          </w:p>
          <w:p w:rsidR="00267A5B" w:rsidRDefault="00267A5B" w:rsidP="006958F3">
            <w:pPr>
              <w:spacing w:line="278" w:lineRule="auto"/>
              <w:ind w:left="2"/>
            </w:pPr>
            <w:r w:rsidRPr="006958F3">
              <w:rPr>
                <w:b w:val="0"/>
                <w:sz w:val="20"/>
                <w:u w:val="none"/>
              </w:rPr>
              <w:t xml:space="preserve">  Jedná se převážně o řešení systémového charakteru v oblasti využití a propagace kulturního a přírodního dědictví.   </w:t>
            </w:r>
          </w:p>
          <w:p w:rsidR="00267A5B" w:rsidRPr="006958F3" w:rsidRDefault="00267A5B" w:rsidP="006958F3">
            <w:pPr>
              <w:spacing w:line="277" w:lineRule="auto"/>
              <w:ind w:left="110"/>
              <w:rPr>
                <w:b w:val="0"/>
                <w:sz w:val="20"/>
                <w:u w:val="none"/>
              </w:rPr>
            </w:pPr>
            <w:r w:rsidRPr="006958F3">
              <w:rPr>
                <w:b w:val="0"/>
                <w:sz w:val="20"/>
                <w:u w:val="none"/>
              </w:rPr>
              <w:t xml:space="preserve">Konkrétním typem řešení tak mohou být například: analýzy a evaluace, společné koncepce, strategie a plány či propagační, informační a marketingová opatření směřující ke zvýšení koherence a společného přístupu v oblasti využití kulturního a přírodního dědictví společného regionu.   </w:t>
            </w:r>
          </w:p>
          <w:p w:rsidR="00492C8A" w:rsidRPr="006958F3" w:rsidRDefault="00492C8A" w:rsidP="006958F3">
            <w:pPr>
              <w:spacing w:line="277" w:lineRule="auto"/>
              <w:ind w:left="110"/>
              <w:rPr>
                <w:sz w:val="14"/>
              </w:rPr>
            </w:pPr>
          </w:p>
          <w:p w:rsidR="00267A5B" w:rsidRDefault="00267A5B" w:rsidP="006958F3">
            <w:pPr>
              <w:spacing w:line="240" w:lineRule="auto"/>
              <w:ind w:left="110"/>
            </w:pPr>
            <w:r w:rsidRPr="006958F3">
              <w:rPr>
                <w:sz w:val="20"/>
                <w:u w:val="none"/>
              </w:rPr>
              <w:t xml:space="preserve">PROGRAM: </w:t>
            </w:r>
          </w:p>
          <w:p w:rsidR="00267A5B" w:rsidRDefault="00267A5B" w:rsidP="006958F3">
            <w:pPr>
              <w:spacing w:line="240" w:lineRule="auto"/>
              <w:ind w:left="2"/>
              <w:rPr>
                <w:b w:val="0"/>
                <w:sz w:val="20"/>
                <w:u w:val="none"/>
              </w:rPr>
            </w:pPr>
            <w:r w:rsidRPr="006958F3">
              <w:rPr>
                <w:b w:val="0"/>
                <w:sz w:val="20"/>
                <w:u w:val="none"/>
              </w:rPr>
              <w:t xml:space="preserve">  Prostý součet hodnot indikátorů za projekty</w:t>
            </w:r>
          </w:p>
          <w:p w:rsidR="00726AA6" w:rsidRPr="006958F3" w:rsidRDefault="00726AA6" w:rsidP="00926A59">
            <w:pPr>
              <w:spacing w:line="240" w:lineRule="auto"/>
              <w:ind w:left="2"/>
              <w:rPr>
                <w:sz w:val="20"/>
                <w:u w:val="none"/>
              </w:rPr>
            </w:pPr>
          </w:p>
        </w:tc>
      </w:tr>
    </w:tbl>
    <w:p w:rsidR="006958F3" w:rsidRDefault="006958F3">
      <w:pPr>
        <w:ind w:left="-1416" w:right="9263"/>
      </w:pPr>
    </w:p>
    <w:tbl>
      <w:tblPr>
        <w:tblpPr w:leftFromText="141" w:rightFromText="141" w:vertAnchor="text" w:horzAnchor="margin" w:tblpX="108" w:tblpY="280"/>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1560"/>
        <w:gridCol w:w="9712"/>
      </w:tblGrid>
      <w:tr w:rsidR="000C755B" w:rsidTr="006958F3">
        <w:trPr>
          <w:trHeight w:val="552"/>
        </w:trPr>
        <w:tc>
          <w:tcPr>
            <w:tcW w:w="13716" w:type="dxa"/>
            <w:gridSpan w:val="3"/>
            <w:shd w:val="clear" w:color="auto" w:fill="F4B083"/>
          </w:tcPr>
          <w:p w:rsidR="000C755B" w:rsidRPr="006958F3" w:rsidRDefault="000C755B" w:rsidP="006958F3">
            <w:pPr>
              <w:spacing w:line="240" w:lineRule="auto"/>
              <w:ind w:left="0" w:right="9263"/>
              <w:rPr>
                <w:u w:val="none"/>
              </w:rPr>
            </w:pPr>
            <w:r w:rsidRPr="006958F3">
              <w:rPr>
                <w:sz w:val="28"/>
                <w:u w:val="none"/>
              </w:rPr>
              <w:t>Prioritní osa 4</w:t>
            </w:r>
          </w:p>
        </w:tc>
      </w:tr>
      <w:tr w:rsidR="000C755B" w:rsidTr="00510CBE">
        <w:trPr>
          <w:trHeight w:val="704"/>
        </w:trPr>
        <w:tc>
          <w:tcPr>
            <w:tcW w:w="2444" w:type="dxa"/>
          </w:tcPr>
          <w:p w:rsidR="000C755B" w:rsidRPr="00267A5B" w:rsidRDefault="000C755B" w:rsidP="006958F3">
            <w:pPr>
              <w:spacing w:line="240" w:lineRule="auto"/>
              <w:ind w:left="0"/>
            </w:pPr>
            <w:r w:rsidRPr="006958F3">
              <w:rPr>
                <w:u w:val="none"/>
              </w:rPr>
              <w:t>Počet partnerů zapojených do společných aktivit</w:t>
            </w:r>
          </w:p>
        </w:tc>
        <w:tc>
          <w:tcPr>
            <w:tcW w:w="1560" w:type="dxa"/>
          </w:tcPr>
          <w:p w:rsidR="000C755B" w:rsidRPr="00B23AC1" w:rsidRDefault="000C755B" w:rsidP="006958F3">
            <w:pPr>
              <w:spacing w:line="240" w:lineRule="auto"/>
              <w:ind w:left="0"/>
            </w:pPr>
            <w:r w:rsidRPr="006958F3">
              <w:rPr>
                <w:u w:val="none"/>
              </w:rPr>
              <w:t>Počet partnerů</w:t>
            </w:r>
          </w:p>
        </w:tc>
        <w:tc>
          <w:tcPr>
            <w:tcW w:w="9712" w:type="dxa"/>
          </w:tcPr>
          <w:p w:rsidR="000C755B" w:rsidRPr="006958F3" w:rsidRDefault="00510CBE" w:rsidP="00510CBE">
            <w:pPr>
              <w:spacing w:line="240" w:lineRule="auto"/>
              <w:ind w:left="0" w:right="8680"/>
              <w:rPr>
                <w:sz w:val="20"/>
                <w:u w:val="none"/>
              </w:rPr>
            </w:pPr>
            <w:r>
              <w:rPr>
                <w:sz w:val="20"/>
                <w:u w:val="none"/>
              </w:rPr>
              <w:t>PROJEK</w:t>
            </w:r>
            <w:r w:rsidR="000C755B" w:rsidRPr="006958F3">
              <w:rPr>
                <w:sz w:val="20"/>
                <w:u w:val="none"/>
              </w:rPr>
              <w:t xml:space="preserve">T: </w:t>
            </w:r>
          </w:p>
          <w:p w:rsidR="000C755B" w:rsidRPr="006958F3" w:rsidRDefault="000C755B" w:rsidP="006958F3">
            <w:pPr>
              <w:spacing w:line="240" w:lineRule="auto"/>
              <w:ind w:left="0" w:right="-108"/>
              <w:rPr>
                <w:b w:val="0"/>
                <w:sz w:val="20"/>
                <w:u w:val="none"/>
              </w:rPr>
            </w:pPr>
            <w:r w:rsidRPr="006958F3">
              <w:rPr>
                <w:b w:val="0"/>
                <w:sz w:val="20"/>
                <w:u w:val="none"/>
              </w:rPr>
              <w:t xml:space="preserve">Indikátor určený pro všechny projekty v rámci TO 11 (tj. včetně Fondů). Započítání budou pouze partneři, kteří se reálně a aktivně účastní na projektu a jsou jako partneři uvedeni i v projektové žádosti.  </w:t>
            </w:r>
          </w:p>
          <w:p w:rsidR="000C755B" w:rsidRPr="006958F3" w:rsidRDefault="000C755B" w:rsidP="006958F3">
            <w:pPr>
              <w:spacing w:line="240" w:lineRule="auto"/>
              <w:ind w:left="0"/>
              <w:rPr>
                <w:b w:val="0"/>
                <w:sz w:val="20"/>
                <w:u w:val="none"/>
              </w:rPr>
            </w:pPr>
            <w:r w:rsidRPr="006958F3">
              <w:rPr>
                <w:b w:val="0"/>
                <w:sz w:val="20"/>
                <w:u w:val="none"/>
              </w:rPr>
              <w:t xml:space="preserve">Jako projektoví partneři mohou být započítány i organizační složky veřejných subjektů, které realizují projekt, ale nemají právní subjektivitu a nositelem právní subjektivity je jejich zřizovatel  </w:t>
            </w:r>
          </w:p>
          <w:p w:rsidR="000C755B" w:rsidRPr="006958F3" w:rsidRDefault="000C755B" w:rsidP="006958F3">
            <w:pPr>
              <w:spacing w:line="240" w:lineRule="auto"/>
              <w:ind w:left="0"/>
              <w:rPr>
                <w:b w:val="0"/>
                <w:sz w:val="20"/>
                <w:u w:val="none"/>
              </w:rPr>
            </w:pPr>
          </w:p>
          <w:p w:rsidR="000C755B" w:rsidRPr="006958F3" w:rsidRDefault="000C755B" w:rsidP="006958F3">
            <w:pPr>
              <w:spacing w:line="240" w:lineRule="auto"/>
              <w:ind w:left="0" w:right="8539"/>
              <w:rPr>
                <w:sz w:val="20"/>
                <w:u w:val="none"/>
              </w:rPr>
            </w:pPr>
            <w:r w:rsidRPr="006958F3">
              <w:rPr>
                <w:sz w:val="20"/>
                <w:u w:val="none"/>
              </w:rPr>
              <w:t xml:space="preserve">PROGRAM: </w:t>
            </w:r>
          </w:p>
          <w:p w:rsidR="000C755B" w:rsidRPr="006958F3" w:rsidRDefault="000C755B" w:rsidP="006958F3">
            <w:pPr>
              <w:spacing w:line="240" w:lineRule="auto"/>
              <w:ind w:left="0" w:right="-108"/>
              <w:rPr>
                <w:b w:val="0"/>
                <w:sz w:val="20"/>
                <w:u w:val="none"/>
              </w:rPr>
            </w:pPr>
            <w:r w:rsidRPr="006958F3">
              <w:rPr>
                <w:b w:val="0"/>
                <w:sz w:val="20"/>
                <w:u w:val="none"/>
              </w:rPr>
              <w:t xml:space="preserve">Na úrovni programu bude celková hodnota dána prostým součtem zapojených partnerů ve všech projektech. </w:t>
            </w:r>
          </w:p>
          <w:p w:rsidR="000C755B" w:rsidRDefault="000C755B" w:rsidP="006958F3">
            <w:pPr>
              <w:spacing w:line="240" w:lineRule="auto"/>
              <w:ind w:left="0"/>
              <w:rPr>
                <w:b w:val="0"/>
                <w:sz w:val="20"/>
                <w:u w:val="none"/>
              </w:rPr>
            </w:pPr>
            <w:r w:rsidRPr="006958F3">
              <w:rPr>
                <w:b w:val="0"/>
                <w:sz w:val="20"/>
                <w:u w:val="none"/>
              </w:rPr>
              <w:t>Tj. i v případě, kdy se bude konkrétní subjekt v průběhu programového období účastnit více projektů jako partner, bude započítán do hodnoty na úrovni programu tolikrát, v kolika projektech jako partner figuroval.</w:t>
            </w:r>
          </w:p>
          <w:p w:rsidR="00926A59" w:rsidRPr="00510CBE" w:rsidRDefault="00926A59" w:rsidP="006958F3">
            <w:pPr>
              <w:spacing w:line="240" w:lineRule="auto"/>
              <w:ind w:left="0"/>
              <w:rPr>
                <w:b w:val="0"/>
                <w:sz w:val="20"/>
                <w:u w:val="none"/>
              </w:rPr>
            </w:pPr>
          </w:p>
        </w:tc>
      </w:tr>
    </w:tbl>
    <w:p w:rsidR="00510CBE" w:rsidRDefault="00510CBE" w:rsidP="00510CBE">
      <w:pPr>
        <w:ind w:left="0" w:right="9263"/>
      </w:pPr>
    </w:p>
    <w:p w:rsidR="000C755B" w:rsidRDefault="000C755B">
      <w:pPr>
        <w:ind w:left="-1416" w:right="9263"/>
      </w:pPr>
    </w:p>
    <w:p w:rsidR="00926A59" w:rsidRDefault="00926A59">
      <w:pPr>
        <w:ind w:left="-1416" w:right="9263"/>
      </w:pPr>
    </w:p>
    <w:p w:rsidR="000C755B" w:rsidRPr="006958F3" w:rsidRDefault="006958F3" w:rsidP="006958F3">
      <w:pPr>
        <w:spacing w:after="131"/>
        <w:ind w:left="157"/>
        <w:jc w:val="center"/>
        <w:rPr>
          <w:u w:val="none"/>
        </w:rPr>
      </w:pPr>
      <w:r w:rsidRPr="006958F3">
        <w:rPr>
          <w:sz w:val="32"/>
          <w:u w:val="none"/>
        </w:rPr>
        <w:lastRenderedPageBreak/>
        <w:t xml:space="preserve">Definice </w:t>
      </w:r>
      <w:r w:rsidR="00DD6E0F">
        <w:rPr>
          <w:sz w:val="32"/>
          <w:u w:val="none"/>
        </w:rPr>
        <w:t>ukazatelů</w:t>
      </w:r>
      <w:r w:rsidRPr="006958F3">
        <w:rPr>
          <w:sz w:val="32"/>
          <w:u w:val="none"/>
        </w:rPr>
        <w:t xml:space="preserve"> výsledků programu</w:t>
      </w:r>
    </w:p>
    <w:p w:rsidR="00E210D1" w:rsidRDefault="00E210D1" w:rsidP="006958F3">
      <w:pPr>
        <w:spacing w:line="240" w:lineRule="auto"/>
        <w:ind w:left="0"/>
      </w:pPr>
      <w:r>
        <w:t xml:space="preserve">Cílem dokumentu je: </w:t>
      </w:r>
    </w:p>
    <w:p w:rsidR="00E210D1" w:rsidRPr="009E11B7" w:rsidRDefault="00E210D1" w:rsidP="006958F3">
      <w:pPr>
        <w:numPr>
          <w:ilvl w:val="0"/>
          <w:numId w:val="1"/>
        </w:numPr>
        <w:spacing w:line="240" w:lineRule="auto"/>
        <w:ind w:left="0" w:hanging="118"/>
        <w:rPr>
          <w:b w:val="0"/>
          <w:u w:val="none"/>
        </w:rPr>
      </w:pPr>
      <w:r w:rsidRPr="009E11B7">
        <w:rPr>
          <w:b w:val="0"/>
          <w:u w:val="none"/>
        </w:rPr>
        <w:t xml:space="preserve">správně porozumění obsahu indikátorů </w:t>
      </w:r>
    </w:p>
    <w:p w:rsidR="00E210D1" w:rsidRPr="009E11B7" w:rsidRDefault="00E210D1" w:rsidP="006958F3">
      <w:pPr>
        <w:numPr>
          <w:ilvl w:val="0"/>
          <w:numId w:val="1"/>
        </w:numPr>
        <w:spacing w:line="240" w:lineRule="auto"/>
        <w:ind w:left="0" w:hanging="118"/>
        <w:rPr>
          <w:b w:val="0"/>
          <w:u w:val="none"/>
        </w:rPr>
      </w:pPr>
      <w:r w:rsidRPr="009E11B7">
        <w:rPr>
          <w:b w:val="0"/>
          <w:u w:val="none"/>
        </w:rPr>
        <w:t xml:space="preserve">ověření reálnosti práce s takto definovanými indikátory na úrovni projektu (žadatelé) a programu (ŘO/NO/JTS) </w:t>
      </w:r>
    </w:p>
    <w:p w:rsidR="009F14D7" w:rsidRPr="002114BA" w:rsidRDefault="00E210D1" w:rsidP="006958F3">
      <w:pPr>
        <w:numPr>
          <w:ilvl w:val="0"/>
          <w:numId w:val="1"/>
        </w:numPr>
        <w:spacing w:line="240" w:lineRule="auto"/>
        <w:ind w:left="0" w:hanging="118"/>
        <w:rPr>
          <w:b w:val="0"/>
          <w:u w:val="none"/>
        </w:rPr>
      </w:pPr>
      <w:r w:rsidRPr="002114BA">
        <w:rPr>
          <w:b w:val="0"/>
          <w:u w:val="none"/>
        </w:rPr>
        <w:t xml:space="preserve">základ detailní informace poskytované ohledně stanovení indikátoru a jejich hodnot pro žadatele a implementační struktury (bude využito jako základ pro informaci o indikátorech pro PPŽ či obdobný dokument). </w:t>
      </w:r>
    </w:p>
    <w:p w:rsidR="00E210D1" w:rsidRDefault="00E210D1" w:rsidP="006958F3">
      <w:pPr>
        <w:spacing w:line="240" w:lineRule="auto"/>
        <w:ind w:left="0"/>
      </w:pPr>
      <w:r>
        <w:t xml:space="preserve"> Vedle definice indikátorů jako takových pro konkrétní investiční priority, je třeba také diskutovat hlavní principy práce s indikátory, např.: </w:t>
      </w:r>
    </w:p>
    <w:p w:rsidR="00E210D1" w:rsidRPr="009E11B7" w:rsidRDefault="00E210D1" w:rsidP="006958F3">
      <w:pPr>
        <w:numPr>
          <w:ilvl w:val="0"/>
          <w:numId w:val="1"/>
        </w:numPr>
        <w:spacing w:line="240" w:lineRule="auto"/>
        <w:ind w:left="0" w:hanging="118"/>
        <w:rPr>
          <w:b w:val="0"/>
          <w:u w:val="none"/>
        </w:rPr>
      </w:pPr>
      <w:r w:rsidRPr="009E11B7">
        <w:rPr>
          <w:b w:val="0"/>
          <w:u w:val="none"/>
        </w:rPr>
        <w:t xml:space="preserve">každý projekt se musí být schopen identifikovat právě s jedním indikátorem výsledku </w:t>
      </w:r>
    </w:p>
    <w:p w:rsidR="000C755B" w:rsidRDefault="00E210D1" w:rsidP="006958F3">
      <w:pPr>
        <w:numPr>
          <w:ilvl w:val="0"/>
          <w:numId w:val="1"/>
        </w:numPr>
        <w:spacing w:line="240" w:lineRule="auto"/>
        <w:ind w:left="0" w:hanging="118"/>
        <w:rPr>
          <w:b w:val="0"/>
          <w:u w:val="none"/>
        </w:rPr>
      </w:pPr>
      <w:r w:rsidRPr="009E11B7">
        <w:rPr>
          <w:b w:val="0"/>
          <w:u w:val="none"/>
        </w:rPr>
        <w:t xml:space="preserve">každý projekt se musí být schopen identifikovat minimálně s jedním indikátorem výstupu (možno i více, pokud je jednoznačně naplňuje – zde třeba diskutovat promítnutí do systému hodnocení, jako prvek motivace řešit více indikátorů) </w:t>
      </w:r>
    </w:p>
    <w:p w:rsidR="006958F3" w:rsidRPr="006958F3" w:rsidRDefault="006958F3" w:rsidP="006958F3">
      <w:pPr>
        <w:spacing w:line="240" w:lineRule="auto"/>
        <w:ind w:left="0"/>
        <w:rPr>
          <w:b w:val="0"/>
          <w:u w:val="none"/>
        </w:rPr>
      </w:pPr>
    </w:p>
    <w:tbl>
      <w:tblPr>
        <w:tblW w:w="14286" w:type="dxa"/>
        <w:tblInd w:w="-106" w:type="dxa"/>
        <w:tblCellMar>
          <w:top w:w="44" w:type="dxa"/>
          <w:left w:w="0" w:type="dxa"/>
          <w:right w:w="89" w:type="dxa"/>
        </w:tblCellMar>
        <w:tblLook w:val="04A0"/>
      </w:tblPr>
      <w:tblGrid>
        <w:gridCol w:w="2379"/>
        <w:gridCol w:w="1134"/>
        <w:gridCol w:w="426"/>
        <w:gridCol w:w="10347"/>
      </w:tblGrid>
      <w:tr w:rsidR="00E210D1" w:rsidTr="006958F3">
        <w:trPr>
          <w:trHeight w:val="251"/>
        </w:trPr>
        <w:tc>
          <w:tcPr>
            <w:tcW w:w="3513" w:type="dxa"/>
            <w:gridSpan w:val="2"/>
            <w:tcBorders>
              <w:top w:val="single" w:sz="4" w:space="0" w:color="000000"/>
              <w:left w:val="single" w:sz="4" w:space="0" w:color="000000"/>
              <w:bottom w:val="single" w:sz="4" w:space="0" w:color="000000"/>
              <w:right w:val="nil"/>
            </w:tcBorders>
            <w:shd w:val="clear" w:color="auto" w:fill="FABF8F"/>
          </w:tcPr>
          <w:p w:rsidR="00E210D1" w:rsidRPr="006958F3" w:rsidRDefault="00E210D1" w:rsidP="006958F3">
            <w:pPr>
              <w:spacing w:after="160"/>
              <w:ind w:left="0"/>
              <w:rPr>
                <w:u w:val="none"/>
              </w:rPr>
            </w:pPr>
            <w:r w:rsidRPr="006958F3">
              <w:rPr>
                <w:u w:val="none"/>
              </w:rPr>
              <w:t xml:space="preserve">  </w:t>
            </w:r>
            <w:r w:rsidR="009F14D7" w:rsidRPr="006958F3">
              <w:rPr>
                <w:sz w:val="28"/>
                <w:u w:val="none"/>
              </w:rPr>
              <w:t>Prioritní osa 2</w:t>
            </w:r>
          </w:p>
        </w:tc>
        <w:tc>
          <w:tcPr>
            <w:tcW w:w="10773" w:type="dxa"/>
            <w:gridSpan w:val="2"/>
            <w:tcBorders>
              <w:top w:val="single" w:sz="4" w:space="0" w:color="000000"/>
              <w:left w:val="nil"/>
              <w:bottom w:val="single" w:sz="4" w:space="0" w:color="000000"/>
              <w:right w:val="single" w:sz="4" w:space="0" w:color="000000"/>
            </w:tcBorders>
            <w:shd w:val="clear" w:color="auto" w:fill="FABF8F"/>
          </w:tcPr>
          <w:p w:rsidR="00E210D1" w:rsidRDefault="00E210D1" w:rsidP="006958F3">
            <w:pPr>
              <w:ind w:left="0"/>
            </w:pPr>
          </w:p>
        </w:tc>
      </w:tr>
      <w:tr w:rsidR="00E210D1" w:rsidTr="006958F3">
        <w:trPr>
          <w:trHeight w:val="1489"/>
        </w:trPr>
        <w:tc>
          <w:tcPr>
            <w:tcW w:w="2379" w:type="dxa"/>
            <w:tcBorders>
              <w:top w:val="single" w:sz="4" w:space="0" w:color="000000"/>
              <w:left w:val="single" w:sz="4" w:space="0" w:color="000000"/>
              <w:bottom w:val="single" w:sz="4" w:space="0" w:color="000000"/>
              <w:right w:val="single" w:sz="4" w:space="0" w:color="000000"/>
            </w:tcBorders>
          </w:tcPr>
          <w:p w:rsidR="00E210D1" w:rsidRPr="006958F3" w:rsidRDefault="00E210D1" w:rsidP="006958F3">
            <w:pPr>
              <w:spacing w:line="242" w:lineRule="auto"/>
              <w:ind w:left="106"/>
              <w:rPr>
                <w:sz w:val="20"/>
                <w:u w:val="none"/>
              </w:rPr>
            </w:pPr>
            <w:r w:rsidRPr="006958F3">
              <w:rPr>
                <w:u w:val="none"/>
              </w:rPr>
              <w:t xml:space="preserve">Návštěvnost hromadných ubytovacích zařízení </w:t>
            </w:r>
          </w:p>
          <w:p w:rsidR="00E210D1" w:rsidRDefault="00E210D1" w:rsidP="006958F3">
            <w:pPr>
              <w:ind w:left="106"/>
            </w:pPr>
            <w:r w:rsidRPr="006958F3">
              <w:rPr>
                <w:sz w:val="18"/>
              </w:rPr>
              <w:t xml:space="preserve"> </w:t>
            </w:r>
          </w:p>
          <w:p w:rsidR="00E210D1" w:rsidRDefault="00E210D1" w:rsidP="006958F3">
            <w:pPr>
              <w:ind w:left="106"/>
            </w:pPr>
            <w:r w:rsidRPr="006958F3">
              <w:rPr>
                <w:sz w:val="18"/>
              </w:rPr>
              <w:t xml:space="preserve"> </w:t>
            </w:r>
          </w:p>
        </w:tc>
        <w:tc>
          <w:tcPr>
            <w:tcW w:w="1134" w:type="dxa"/>
            <w:tcBorders>
              <w:top w:val="single" w:sz="4" w:space="0" w:color="000000"/>
              <w:left w:val="single" w:sz="4" w:space="0" w:color="000000"/>
              <w:bottom w:val="single" w:sz="4" w:space="0" w:color="000000"/>
              <w:right w:val="nil"/>
            </w:tcBorders>
          </w:tcPr>
          <w:p w:rsidR="00E210D1" w:rsidRPr="006958F3" w:rsidRDefault="00E210D1" w:rsidP="006958F3">
            <w:pPr>
              <w:ind w:left="108"/>
              <w:rPr>
                <w:u w:val="none"/>
              </w:rPr>
            </w:pPr>
            <w:r w:rsidRPr="006958F3">
              <w:rPr>
                <w:u w:val="none"/>
              </w:rPr>
              <w:t xml:space="preserve">Příjezdy hostů </w:t>
            </w:r>
          </w:p>
          <w:p w:rsidR="00E210D1" w:rsidRDefault="00E210D1" w:rsidP="006958F3">
            <w:pPr>
              <w:ind w:left="108"/>
            </w:pPr>
            <w:r w:rsidRPr="006958F3">
              <w:rPr>
                <w:sz w:val="20"/>
              </w:rPr>
              <w:t xml:space="preserve"> </w:t>
            </w:r>
          </w:p>
        </w:tc>
        <w:tc>
          <w:tcPr>
            <w:tcW w:w="426" w:type="dxa"/>
            <w:tcBorders>
              <w:top w:val="single" w:sz="4" w:space="0" w:color="000000"/>
              <w:left w:val="nil"/>
              <w:bottom w:val="single" w:sz="4" w:space="0" w:color="000000"/>
              <w:right w:val="single" w:sz="4" w:space="0" w:color="000000"/>
            </w:tcBorders>
          </w:tcPr>
          <w:p w:rsidR="00E210D1" w:rsidRDefault="00E210D1" w:rsidP="006958F3">
            <w:pPr>
              <w:spacing w:after="160"/>
              <w:ind w:left="0"/>
            </w:pPr>
          </w:p>
        </w:tc>
        <w:tc>
          <w:tcPr>
            <w:tcW w:w="10347" w:type="dxa"/>
            <w:tcBorders>
              <w:top w:val="single" w:sz="4" w:space="0" w:color="000000"/>
              <w:left w:val="single" w:sz="4" w:space="0" w:color="000000"/>
              <w:bottom w:val="single" w:sz="4" w:space="0" w:color="000000"/>
              <w:right w:val="single" w:sz="4" w:space="0" w:color="000000"/>
            </w:tcBorders>
          </w:tcPr>
          <w:p w:rsidR="00E210D1" w:rsidRPr="006958F3" w:rsidRDefault="00E210D1" w:rsidP="006958F3">
            <w:pPr>
              <w:spacing w:line="240" w:lineRule="auto"/>
              <w:ind w:left="110"/>
              <w:rPr>
                <w:u w:val="none"/>
              </w:rPr>
            </w:pPr>
            <w:r w:rsidRPr="006958F3">
              <w:rPr>
                <w:sz w:val="20"/>
                <w:u w:val="none"/>
              </w:rPr>
              <w:t xml:space="preserve">PROJEKT: </w:t>
            </w:r>
          </w:p>
          <w:p w:rsidR="009E11B7" w:rsidRPr="006958F3" w:rsidRDefault="00E210D1" w:rsidP="006958F3">
            <w:pPr>
              <w:spacing w:line="240" w:lineRule="auto"/>
              <w:ind w:left="141"/>
              <w:rPr>
                <w:b w:val="0"/>
                <w:sz w:val="20"/>
                <w:u w:val="none"/>
              </w:rPr>
            </w:pPr>
            <w:r w:rsidRPr="006958F3">
              <w:rPr>
                <w:b w:val="0"/>
                <w:sz w:val="20"/>
                <w:u w:val="none"/>
              </w:rPr>
              <w:t xml:space="preserve">Na úrovni projektu bude popsáno, jak projekt konkrétně přispěje ke zvýšení celkové návštěvnosti území </w:t>
            </w:r>
          </w:p>
          <w:p w:rsidR="00492C8A" w:rsidRPr="006958F3" w:rsidRDefault="00492C8A" w:rsidP="006958F3">
            <w:pPr>
              <w:spacing w:line="240" w:lineRule="auto"/>
              <w:ind w:left="141"/>
              <w:rPr>
                <w:b w:val="0"/>
                <w:sz w:val="16"/>
                <w:u w:val="none"/>
              </w:rPr>
            </w:pPr>
          </w:p>
          <w:p w:rsidR="009E11B7" w:rsidRPr="006958F3" w:rsidRDefault="009E11B7" w:rsidP="006958F3">
            <w:pPr>
              <w:spacing w:line="240" w:lineRule="auto"/>
              <w:ind w:left="141"/>
              <w:rPr>
                <w:u w:val="none"/>
              </w:rPr>
            </w:pPr>
            <w:r w:rsidRPr="006958F3">
              <w:rPr>
                <w:sz w:val="20"/>
                <w:u w:val="none"/>
              </w:rPr>
              <w:t>PROGRAM</w:t>
            </w:r>
            <w:r w:rsidR="002114BA" w:rsidRPr="006958F3">
              <w:rPr>
                <w:sz w:val="20"/>
                <w:u w:val="none"/>
              </w:rPr>
              <w:t>:</w:t>
            </w:r>
            <w:r w:rsidRPr="006958F3">
              <w:rPr>
                <w:sz w:val="20"/>
                <w:u w:val="none"/>
              </w:rPr>
              <w:t xml:space="preserve"> </w:t>
            </w:r>
          </w:p>
          <w:p w:rsidR="009E11B7" w:rsidRPr="006958F3" w:rsidRDefault="009E11B7" w:rsidP="006958F3">
            <w:pPr>
              <w:spacing w:after="13" w:line="240" w:lineRule="auto"/>
              <w:ind w:left="141"/>
              <w:rPr>
                <w:b w:val="0"/>
                <w:u w:val="none"/>
              </w:rPr>
            </w:pPr>
            <w:r w:rsidRPr="006958F3">
              <w:rPr>
                <w:b w:val="0"/>
                <w:sz w:val="20"/>
                <w:u w:val="none"/>
              </w:rPr>
              <w:t xml:space="preserve">Na úrovni programu bude využito dostupných statistických dat: </w:t>
            </w:r>
          </w:p>
          <w:p w:rsidR="009E11B7" w:rsidRPr="006958F3" w:rsidRDefault="009E11B7" w:rsidP="006958F3">
            <w:pPr>
              <w:pStyle w:val="Odstavecseseznamem"/>
              <w:numPr>
                <w:ilvl w:val="0"/>
                <w:numId w:val="9"/>
              </w:numPr>
              <w:spacing w:line="240" w:lineRule="auto"/>
              <w:ind w:right="3"/>
              <w:rPr>
                <w:b w:val="0"/>
                <w:u w:val="none"/>
              </w:rPr>
            </w:pPr>
            <w:r w:rsidRPr="006958F3">
              <w:rPr>
                <w:b w:val="0"/>
                <w:sz w:val="20"/>
                <w:u w:val="none"/>
              </w:rPr>
              <w:t>V ČR se jedná o sestav</w:t>
            </w:r>
            <w:r w:rsidR="00103006" w:rsidRPr="006958F3">
              <w:rPr>
                <w:b w:val="0"/>
                <w:sz w:val="20"/>
                <w:u w:val="none"/>
              </w:rPr>
              <w:t xml:space="preserve">u Českého statistického úřadu: </w:t>
            </w:r>
            <w:r w:rsidRPr="006958F3">
              <w:rPr>
                <w:b w:val="0"/>
                <w:sz w:val="20"/>
                <w:u w:val="none"/>
              </w:rPr>
              <w:t xml:space="preserve">návštěvnost hromadných ubytovacích zařízení – počet hostů </w:t>
            </w:r>
            <w:r w:rsidRPr="006958F3">
              <w:rPr>
                <w:b w:val="0"/>
                <w:i/>
                <w:sz w:val="20"/>
                <w:u w:val="none"/>
              </w:rPr>
              <w:t xml:space="preserve">(Mezi hromadná ubytovací zařízení patří hotely, motely, botely, penziony, turistické ubytovny, chatové osady, kempy a ostatní hromadná ubytovací zařízení. Mezi ostatní hromadná ubytovací zařízení patří např. rekreační zařízení podniků, školící střediska, kulturně-historické objekty, lázeňská zařízení a jiná ubytovací zařízení, která vyčleňují lůžkovou kapacitu pro cestovní ruch (např. domovy mládeže, vysokoškolské koleje, podnikové ubytovny apod.). Mezi individuální ubytování se zařazují pronajímané pokoje, byty, chaty, chalupy a ubytování na rodinných farmách sloužících agroturistice. </w:t>
            </w:r>
          </w:p>
          <w:p w:rsidR="00E210D1" w:rsidRPr="006958F3" w:rsidRDefault="009E11B7" w:rsidP="006958F3">
            <w:pPr>
              <w:spacing w:after="31" w:line="240" w:lineRule="auto"/>
              <w:ind w:left="720"/>
              <w:rPr>
                <w:b w:val="0"/>
                <w:sz w:val="20"/>
                <w:u w:val="none"/>
              </w:rPr>
            </w:pPr>
            <w:r w:rsidRPr="006958F3">
              <w:rPr>
                <w:b w:val="0"/>
                <w:i/>
                <w:sz w:val="20"/>
                <w:u w:val="none"/>
              </w:rPr>
              <w:t>Hromadné ubytovací zařízení –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r w:rsidRPr="006958F3">
              <w:rPr>
                <w:b w:val="0"/>
                <w:sz w:val="20"/>
                <w:u w:val="none"/>
              </w:rPr>
              <w:t xml:space="preserve">) </w:t>
            </w:r>
          </w:p>
          <w:p w:rsidR="002114BA" w:rsidRPr="006958F3" w:rsidRDefault="002114BA" w:rsidP="006958F3">
            <w:pPr>
              <w:spacing w:after="31" w:line="240" w:lineRule="auto"/>
              <w:ind w:left="720"/>
              <w:rPr>
                <w:b w:val="0"/>
                <w:sz w:val="16"/>
                <w:u w:val="none"/>
              </w:rPr>
            </w:pPr>
          </w:p>
          <w:p w:rsidR="002114BA" w:rsidRPr="006958F3" w:rsidRDefault="002114BA" w:rsidP="006958F3">
            <w:pPr>
              <w:pStyle w:val="Odstavecseseznamem"/>
              <w:numPr>
                <w:ilvl w:val="0"/>
                <w:numId w:val="9"/>
              </w:numPr>
              <w:spacing w:after="31" w:line="240" w:lineRule="auto"/>
              <w:rPr>
                <w:b w:val="0"/>
                <w:sz w:val="20"/>
                <w:u w:val="none"/>
              </w:rPr>
            </w:pPr>
            <w:r w:rsidRPr="006958F3">
              <w:rPr>
                <w:b w:val="0"/>
                <w:sz w:val="20"/>
                <w:u w:val="none"/>
              </w:rPr>
              <w:t xml:space="preserve">V Polské republice se jedná o sestavu Turistická ubytovací zařízení, ve které jsou zahrnuty hotely, motely, penziony, jiné hotelové objekty, výletní domy (domy wycieczkowe), útulny (schroniska), domovy mládeže (školní a jiné: schroniska młodzieżowe, szkolne schroniska młodzieżowe), </w:t>
            </w:r>
          </w:p>
          <w:p w:rsidR="002114BA" w:rsidRPr="006958F3" w:rsidRDefault="002114BA" w:rsidP="006958F3">
            <w:pPr>
              <w:spacing w:after="31" w:line="240" w:lineRule="auto"/>
              <w:ind w:left="720"/>
              <w:rPr>
                <w:b w:val="0"/>
                <w:sz w:val="20"/>
                <w:u w:val="none"/>
              </w:rPr>
            </w:pPr>
            <w:r w:rsidRPr="006958F3">
              <w:rPr>
                <w:b w:val="0"/>
                <w:sz w:val="20"/>
                <w:u w:val="none"/>
              </w:rPr>
              <w:t xml:space="preserve">turistická střediska (ośrodki wczasowe), - táborová střediska nebo střediska pro organizaci volného casu mládeže (ośrodki kolonijne), školící a volnočasová střediska (ośrodki szkoleniowo-wypoczynkowe), domy tvůrčí práce </w:t>
            </w:r>
            <w:r w:rsidRPr="006958F3">
              <w:rPr>
                <w:b w:val="0"/>
                <w:sz w:val="20"/>
                <w:u w:val="none"/>
              </w:rPr>
              <w:lastRenderedPageBreak/>
              <w:t xml:space="preserve">(střediska vedená sdružením umělců - domy pracy twórczej), volně dostupné turistické domy (zespoły ogólnodostępnych domków turystycznych), kempy, objekty určené k víkendovému a svátečnímu využití (obiekty do wypoczynku sobotnio-niedzielnego i świątecznego) a lázeňská ubytovací zařízení. Od roku 2012 jsou údaje zjišťovány za objekty s 10 a více ubytovacími místy. Od roku 2012 jsou také zjišťována data za  agroturistické objekty a hostinské pokoje. Zjišťovány jsou údaje za všechny návštěvníky, tj. jak rezidenty (obyvatele dané země), tak nerezidenty, a to ze všech zemí světa, ze kterých návštěvníci v daném roce pocházeli.  </w:t>
            </w:r>
          </w:p>
          <w:p w:rsidR="006C435C" w:rsidRPr="006C435C" w:rsidRDefault="006C435C" w:rsidP="006C435C">
            <w:pPr>
              <w:spacing w:line="240" w:lineRule="auto"/>
              <w:ind w:left="0"/>
              <w:rPr>
                <w:rFonts w:cs="Times New Roman"/>
                <w:color w:val="auto"/>
                <w:sz w:val="20"/>
                <w:szCs w:val="20"/>
                <w:u w:val="none"/>
                <w:lang w:eastAsia="en-US"/>
              </w:rPr>
            </w:pPr>
            <w:r w:rsidRPr="006C435C">
              <w:rPr>
                <w:rFonts w:cs="Times New Roman"/>
                <w:color w:val="auto"/>
                <w:sz w:val="20"/>
                <w:szCs w:val="20"/>
                <w:u w:val="none"/>
                <w:lang w:eastAsia="en-US"/>
              </w:rPr>
              <w:t>PROJEKT:</w:t>
            </w:r>
          </w:p>
          <w:p w:rsidR="006C435C" w:rsidRPr="006C435C" w:rsidRDefault="006C435C" w:rsidP="006C435C">
            <w:pPr>
              <w:spacing w:line="240" w:lineRule="auto"/>
              <w:ind w:left="0"/>
              <w:rPr>
                <w:rFonts w:cs="Times New Roman"/>
                <w:color w:val="auto"/>
                <w:sz w:val="20"/>
                <w:szCs w:val="20"/>
                <w:u w:val="none"/>
                <w:lang w:eastAsia="en-US"/>
              </w:rPr>
            </w:pPr>
            <w:r w:rsidRPr="006C435C">
              <w:rPr>
                <w:rFonts w:cs="Times New Roman"/>
                <w:color w:val="auto"/>
                <w:sz w:val="20"/>
                <w:szCs w:val="20"/>
                <w:u w:val="none"/>
                <w:lang w:eastAsia="en-US"/>
              </w:rPr>
              <w:t>Na úrovni projektu bude popsáno, jak projekt konkrétně přispěje ke zvýšení celkové návštěvnosti území</w:t>
            </w:r>
          </w:p>
          <w:p w:rsidR="006C435C" w:rsidRPr="006958F3" w:rsidRDefault="006C435C" w:rsidP="00926A59">
            <w:pPr>
              <w:spacing w:after="31" w:line="241" w:lineRule="auto"/>
              <w:ind w:left="720"/>
              <w:rPr>
                <w:b w:val="0"/>
                <w:u w:val="none"/>
              </w:rPr>
            </w:pPr>
          </w:p>
        </w:tc>
      </w:tr>
    </w:tbl>
    <w:p w:rsidR="009E11B7" w:rsidRDefault="009E11B7" w:rsidP="00926A59">
      <w:pPr>
        <w:ind w:left="0" w:right="609"/>
      </w:pPr>
    </w:p>
    <w:tbl>
      <w:tblPr>
        <w:tblpPr w:leftFromText="141" w:rightFromText="141" w:vertAnchor="text" w:horzAnchor="margin" w:tblpX="-132" w:tblpY="-80"/>
        <w:tblW w:w="14322" w:type="dxa"/>
        <w:tblCellMar>
          <w:top w:w="44" w:type="dxa"/>
          <w:left w:w="0" w:type="dxa"/>
          <w:right w:w="38" w:type="dxa"/>
        </w:tblCellMar>
        <w:tblLook w:val="04A0"/>
      </w:tblPr>
      <w:tblGrid>
        <w:gridCol w:w="2557"/>
        <w:gridCol w:w="1417"/>
        <w:gridCol w:w="2435"/>
        <w:gridCol w:w="7913"/>
      </w:tblGrid>
      <w:tr w:rsidR="009E11B7" w:rsidTr="006958F3">
        <w:trPr>
          <w:trHeight w:val="251"/>
        </w:trPr>
        <w:tc>
          <w:tcPr>
            <w:tcW w:w="6409" w:type="dxa"/>
            <w:gridSpan w:val="3"/>
            <w:tcBorders>
              <w:top w:val="single" w:sz="4" w:space="0" w:color="000000"/>
              <w:left w:val="single" w:sz="4" w:space="0" w:color="000000"/>
              <w:bottom w:val="single" w:sz="4" w:space="0" w:color="000000"/>
              <w:right w:val="nil"/>
            </w:tcBorders>
            <w:shd w:val="clear" w:color="auto" w:fill="FABF8F"/>
          </w:tcPr>
          <w:p w:rsidR="009E11B7" w:rsidRPr="006958F3" w:rsidRDefault="002114BA" w:rsidP="006958F3">
            <w:pPr>
              <w:spacing w:after="160"/>
              <w:ind w:left="0"/>
              <w:rPr>
                <w:u w:val="none"/>
              </w:rPr>
            </w:pPr>
            <w:r w:rsidRPr="006958F3">
              <w:rPr>
                <w:sz w:val="28"/>
                <w:u w:val="none"/>
              </w:rPr>
              <w:lastRenderedPageBreak/>
              <w:t>Prioritní osa 4</w:t>
            </w:r>
          </w:p>
        </w:tc>
        <w:tc>
          <w:tcPr>
            <w:tcW w:w="7913" w:type="dxa"/>
            <w:tcBorders>
              <w:top w:val="single" w:sz="4" w:space="0" w:color="000000"/>
              <w:left w:val="nil"/>
              <w:bottom w:val="single" w:sz="4" w:space="0" w:color="000000"/>
              <w:right w:val="single" w:sz="4" w:space="0" w:color="000000"/>
            </w:tcBorders>
            <w:shd w:val="clear" w:color="auto" w:fill="FABF8F"/>
          </w:tcPr>
          <w:p w:rsidR="009E11B7" w:rsidRDefault="009E11B7" w:rsidP="006958F3">
            <w:pPr>
              <w:ind w:left="0"/>
            </w:pPr>
          </w:p>
        </w:tc>
      </w:tr>
      <w:tr w:rsidR="009F14D7" w:rsidTr="00220463">
        <w:tblPrEx>
          <w:tblCellMar>
            <w:top w:w="45" w:type="dxa"/>
            <w:left w:w="108" w:type="dxa"/>
            <w:right w:w="61" w:type="dxa"/>
          </w:tblCellMar>
        </w:tblPrEx>
        <w:trPr>
          <w:trHeight w:val="517"/>
        </w:trPr>
        <w:tc>
          <w:tcPr>
            <w:tcW w:w="2557" w:type="dxa"/>
            <w:tcBorders>
              <w:top w:val="single" w:sz="4" w:space="0" w:color="000000"/>
              <w:left w:val="single" w:sz="4" w:space="0" w:color="000000"/>
              <w:bottom w:val="single" w:sz="4" w:space="0" w:color="000000"/>
              <w:right w:val="single" w:sz="4" w:space="0" w:color="000000"/>
            </w:tcBorders>
          </w:tcPr>
          <w:p w:rsidR="009E11B7" w:rsidRPr="006958F3" w:rsidRDefault="009E11B7" w:rsidP="006958F3">
            <w:pPr>
              <w:spacing w:line="240" w:lineRule="auto"/>
              <w:ind w:left="0"/>
              <w:rPr>
                <w:sz w:val="20"/>
                <w:u w:val="none"/>
              </w:rPr>
            </w:pPr>
            <w:r w:rsidRPr="006958F3">
              <w:rPr>
                <w:u w:val="none"/>
              </w:rPr>
              <w:t>Úroveň spolupráce institucí na česko</w:t>
            </w:r>
            <w:r w:rsidR="00220463">
              <w:rPr>
                <w:u w:val="none"/>
              </w:rPr>
              <w:t>-</w:t>
            </w:r>
            <w:r w:rsidRPr="006958F3">
              <w:rPr>
                <w:u w:val="none"/>
              </w:rPr>
              <w:t xml:space="preserve">polském pohraničí </w:t>
            </w:r>
          </w:p>
          <w:p w:rsidR="009E11B7" w:rsidRDefault="009E11B7" w:rsidP="006958F3">
            <w:pPr>
              <w:ind w:left="0"/>
            </w:pPr>
            <w:r w:rsidRPr="006958F3">
              <w:rPr>
                <w:i/>
                <w:sz w:val="24"/>
              </w:rPr>
              <w:t xml:space="preserve"> </w:t>
            </w:r>
          </w:p>
          <w:p w:rsidR="009E11B7" w:rsidRDefault="009E11B7" w:rsidP="006958F3">
            <w:pPr>
              <w:ind w:left="0"/>
            </w:pPr>
            <w:r w:rsidRPr="006958F3">
              <w:rPr>
                <w:i/>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E11B7" w:rsidRPr="006958F3" w:rsidRDefault="009E11B7" w:rsidP="006958F3">
            <w:pPr>
              <w:ind w:left="0"/>
              <w:rPr>
                <w:u w:val="none"/>
              </w:rPr>
            </w:pPr>
            <w:r w:rsidRPr="006958F3">
              <w:rPr>
                <w:u w:val="none"/>
              </w:rPr>
              <w:t xml:space="preserve">Škála </w:t>
            </w:r>
          </w:p>
        </w:tc>
        <w:tc>
          <w:tcPr>
            <w:tcW w:w="10348" w:type="dxa"/>
            <w:gridSpan w:val="2"/>
            <w:tcBorders>
              <w:top w:val="single" w:sz="4" w:space="0" w:color="000000"/>
              <w:left w:val="single" w:sz="4" w:space="0" w:color="000000"/>
              <w:bottom w:val="single" w:sz="4" w:space="0" w:color="000000"/>
              <w:right w:val="single" w:sz="4" w:space="0" w:color="000000"/>
            </w:tcBorders>
          </w:tcPr>
          <w:p w:rsidR="009E11B7" w:rsidRPr="006958F3" w:rsidRDefault="009E11B7" w:rsidP="006958F3">
            <w:pPr>
              <w:spacing w:line="240" w:lineRule="auto"/>
              <w:ind w:left="2"/>
              <w:rPr>
                <w:u w:val="none"/>
              </w:rPr>
            </w:pPr>
            <w:r w:rsidRPr="006958F3">
              <w:rPr>
                <w:sz w:val="20"/>
                <w:u w:val="none"/>
              </w:rPr>
              <w:t xml:space="preserve">PROJEKT: </w:t>
            </w:r>
          </w:p>
          <w:p w:rsidR="009E11B7" w:rsidRPr="006958F3" w:rsidRDefault="009E11B7" w:rsidP="006958F3">
            <w:pPr>
              <w:spacing w:line="240" w:lineRule="auto"/>
              <w:ind w:left="2" w:right="45"/>
              <w:rPr>
                <w:sz w:val="20"/>
              </w:rPr>
            </w:pPr>
            <w:r w:rsidRPr="006958F3">
              <w:rPr>
                <w:b w:val="0"/>
                <w:sz w:val="20"/>
                <w:u w:val="none"/>
              </w:rPr>
              <w:t>Na úrovni projektu bude popsáno, jak projekt přispěje ke zvýšení kvalitativní úrovně</w:t>
            </w:r>
            <w:r w:rsidRPr="006958F3">
              <w:rPr>
                <w:b w:val="0"/>
                <w:sz w:val="20"/>
                <w:u w:val="none"/>
                <w:vertAlign w:val="superscript"/>
              </w:rPr>
              <w:footnoteReference w:id="1"/>
            </w:r>
            <w:r w:rsidRPr="006958F3">
              <w:rPr>
                <w:b w:val="0"/>
                <w:sz w:val="20"/>
                <w:u w:val="none"/>
              </w:rPr>
              <w:t xml:space="preserve"> spolupráce institucí na česko -polském pohraničí. </w:t>
            </w:r>
            <w:r w:rsidRPr="006958F3">
              <w:rPr>
                <w:sz w:val="20"/>
              </w:rPr>
              <w:t xml:space="preserve"> </w:t>
            </w:r>
          </w:p>
          <w:p w:rsidR="00492C8A" w:rsidRPr="006958F3" w:rsidRDefault="00492C8A" w:rsidP="006958F3">
            <w:pPr>
              <w:spacing w:line="240" w:lineRule="auto"/>
              <w:ind w:left="2" w:right="45"/>
              <w:rPr>
                <w:sz w:val="16"/>
              </w:rPr>
            </w:pPr>
          </w:p>
          <w:p w:rsidR="009E11B7" w:rsidRPr="006958F3" w:rsidRDefault="009E11B7" w:rsidP="006958F3">
            <w:pPr>
              <w:spacing w:line="240" w:lineRule="auto"/>
              <w:ind w:left="2"/>
              <w:rPr>
                <w:u w:val="none"/>
              </w:rPr>
            </w:pPr>
            <w:r w:rsidRPr="006958F3">
              <w:rPr>
                <w:sz w:val="20"/>
                <w:u w:val="none"/>
              </w:rPr>
              <w:t xml:space="preserve">PROGRAM: </w:t>
            </w:r>
          </w:p>
          <w:p w:rsidR="009E11B7" w:rsidRPr="006958F3" w:rsidRDefault="009E11B7" w:rsidP="006958F3">
            <w:pPr>
              <w:spacing w:line="240" w:lineRule="auto"/>
              <w:ind w:left="2"/>
            </w:pPr>
            <w:r w:rsidRPr="006958F3">
              <w:rPr>
                <w:b w:val="0"/>
                <w:sz w:val="20"/>
                <w:u w:val="none"/>
              </w:rPr>
              <w:t xml:space="preserve">Na úrovni programu bude hodnota indikátoru zjišťována v rámci dotazníkového šetření, jehož podrobná metodika je v současné době připravována. </w:t>
            </w:r>
            <w:r w:rsidRPr="006958F3">
              <w:rPr>
                <w:sz w:val="20"/>
              </w:rPr>
              <w:t xml:space="preserve"> </w:t>
            </w:r>
          </w:p>
          <w:p w:rsidR="009E11B7" w:rsidRPr="006958F3" w:rsidRDefault="009E11B7" w:rsidP="006958F3">
            <w:pPr>
              <w:spacing w:after="226" w:line="240" w:lineRule="auto"/>
              <w:ind w:left="2"/>
              <w:rPr>
                <w:b w:val="0"/>
                <w:u w:val="none"/>
              </w:rPr>
            </w:pPr>
            <w:r w:rsidRPr="006958F3">
              <w:rPr>
                <w:b w:val="0"/>
                <w:sz w:val="20"/>
                <w:u w:val="none"/>
              </w:rPr>
              <w:t xml:space="preserve">Metodika bude obsahovat: předpoklady pro realizaci přeshraniční spolupráce, dle níže uvedených aspektů: </w:t>
            </w:r>
          </w:p>
          <w:p w:rsidR="009E11B7" w:rsidRPr="006958F3" w:rsidRDefault="009E11B7" w:rsidP="006958F3">
            <w:pPr>
              <w:numPr>
                <w:ilvl w:val="0"/>
                <w:numId w:val="3"/>
              </w:numPr>
              <w:spacing w:after="29" w:line="240" w:lineRule="auto"/>
              <w:ind w:left="459" w:right="46" w:hanging="283"/>
              <w:rPr>
                <w:b w:val="0"/>
                <w:u w:val="none"/>
              </w:rPr>
            </w:pPr>
            <w:r w:rsidRPr="006958F3">
              <w:rPr>
                <w:b w:val="0"/>
                <w:sz w:val="20"/>
                <w:u w:val="none"/>
              </w:rPr>
              <w:t xml:space="preserve">rámcové podmínky pro přeshraniční spolupráci (legislativa, vnitřní předpisy institucí, uspořádání veřejné správy a kompetence) </w:t>
            </w:r>
          </w:p>
          <w:p w:rsidR="009E11B7" w:rsidRPr="006958F3" w:rsidRDefault="009E11B7" w:rsidP="006958F3">
            <w:pPr>
              <w:numPr>
                <w:ilvl w:val="0"/>
                <w:numId w:val="3"/>
              </w:numPr>
              <w:spacing w:after="29" w:line="240" w:lineRule="auto"/>
              <w:ind w:left="459" w:right="46" w:hanging="283"/>
              <w:rPr>
                <w:b w:val="0"/>
                <w:u w:val="none"/>
              </w:rPr>
            </w:pPr>
            <w:r w:rsidRPr="006958F3">
              <w:rPr>
                <w:b w:val="0"/>
                <w:sz w:val="20"/>
                <w:u w:val="none"/>
              </w:rPr>
              <w:t xml:space="preserve">bariéry rozvoje přeshraniční spolupráce na česko-polském pohraničí (spolu s určením úrovně jejich významu a způsobu omezení jejich vlivu) </w:t>
            </w:r>
          </w:p>
          <w:p w:rsidR="009E11B7" w:rsidRPr="006958F3" w:rsidRDefault="009E11B7" w:rsidP="006958F3">
            <w:pPr>
              <w:numPr>
                <w:ilvl w:val="0"/>
                <w:numId w:val="3"/>
              </w:numPr>
              <w:spacing w:line="240" w:lineRule="auto"/>
              <w:ind w:left="459" w:right="46" w:hanging="283"/>
              <w:rPr>
                <w:b w:val="0"/>
                <w:u w:val="none"/>
              </w:rPr>
            </w:pPr>
            <w:r w:rsidRPr="006958F3">
              <w:rPr>
                <w:b w:val="0"/>
                <w:sz w:val="20"/>
                <w:u w:val="none"/>
              </w:rPr>
              <w:t xml:space="preserve">finanční podmínky spolupráce institucí </w:t>
            </w:r>
          </w:p>
          <w:p w:rsidR="009E11B7" w:rsidRPr="006958F3" w:rsidRDefault="009E11B7" w:rsidP="006958F3">
            <w:pPr>
              <w:numPr>
                <w:ilvl w:val="0"/>
                <w:numId w:val="3"/>
              </w:numPr>
              <w:spacing w:after="49" w:line="240" w:lineRule="auto"/>
              <w:ind w:left="459" w:right="46" w:hanging="283"/>
              <w:rPr>
                <w:b w:val="0"/>
                <w:u w:val="none"/>
              </w:rPr>
            </w:pPr>
            <w:r w:rsidRPr="006958F3">
              <w:rPr>
                <w:b w:val="0"/>
                <w:sz w:val="20"/>
                <w:u w:val="none"/>
              </w:rPr>
              <w:t xml:space="preserve">vliv odborné úrovně personálu institucí na úroveň přeshraniční </w:t>
            </w:r>
            <w:r w:rsidRPr="006958F3">
              <w:rPr>
                <w:b w:val="0"/>
                <w:sz w:val="20"/>
                <w:u w:val="none"/>
              </w:rPr>
              <w:tab/>
              <w:t xml:space="preserve">spolupráce (kompetence, jazykové vzdělání) </w:t>
            </w:r>
          </w:p>
          <w:p w:rsidR="009E11B7" w:rsidRPr="006958F3" w:rsidRDefault="009E11B7" w:rsidP="006958F3">
            <w:pPr>
              <w:spacing w:after="6" w:line="240" w:lineRule="auto"/>
              <w:ind w:left="317" w:right="569" w:hanging="283"/>
              <w:rPr>
                <w:b w:val="0"/>
                <w:sz w:val="20"/>
                <w:u w:val="none"/>
              </w:rPr>
            </w:pPr>
            <w:r w:rsidRPr="006958F3">
              <w:rPr>
                <w:rFonts w:eastAsia="Times New Roman" w:cs="Times New Roman"/>
                <w:b w:val="0"/>
                <w:sz w:val="20"/>
                <w:u w:val="none"/>
              </w:rPr>
              <w:t>–</w:t>
            </w:r>
            <w:r w:rsidRPr="006958F3">
              <w:rPr>
                <w:rFonts w:eastAsia="Arial" w:cs="Arial"/>
                <w:b w:val="0"/>
                <w:sz w:val="20"/>
                <w:u w:val="none"/>
              </w:rPr>
              <w:t xml:space="preserve"> </w:t>
            </w:r>
            <w:r w:rsidRPr="006958F3">
              <w:rPr>
                <w:rFonts w:eastAsia="Arial" w:cs="Arial"/>
                <w:b w:val="0"/>
                <w:sz w:val="20"/>
                <w:u w:val="none"/>
              </w:rPr>
              <w:tab/>
            </w:r>
            <w:r w:rsidRPr="006958F3">
              <w:rPr>
                <w:b w:val="0"/>
                <w:sz w:val="20"/>
                <w:u w:val="none"/>
              </w:rPr>
              <w:t xml:space="preserve"> hodnocení přeshraniční spolupráce jak  </w:t>
            </w:r>
          </w:p>
          <w:p w:rsidR="009E11B7" w:rsidRPr="006958F3" w:rsidRDefault="009E11B7" w:rsidP="006958F3">
            <w:pPr>
              <w:pStyle w:val="Odstavecseseznamem"/>
              <w:numPr>
                <w:ilvl w:val="0"/>
                <w:numId w:val="6"/>
              </w:numPr>
              <w:spacing w:after="6" w:line="240" w:lineRule="auto"/>
              <w:ind w:left="459" w:right="569" w:hanging="283"/>
              <w:rPr>
                <w:b w:val="0"/>
                <w:u w:val="none"/>
              </w:rPr>
            </w:pPr>
            <w:r w:rsidRPr="006958F3">
              <w:rPr>
                <w:b w:val="0"/>
                <w:sz w:val="20"/>
                <w:u w:val="none"/>
              </w:rPr>
              <w:t xml:space="preserve">a) z hlediska kvantity (intenzita), tak  </w:t>
            </w:r>
          </w:p>
          <w:p w:rsidR="009E11B7" w:rsidRPr="00220463" w:rsidRDefault="009E11B7" w:rsidP="006958F3">
            <w:pPr>
              <w:pStyle w:val="Odstavecseseznamem"/>
              <w:numPr>
                <w:ilvl w:val="0"/>
                <w:numId w:val="6"/>
              </w:numPr>
              <w:spacing w:line="240" w:lineRule="auto"/>
              <w:ind w:left="459" w:right="46" w:hanging="283"/>
            </w:pPr>
            <w:r w:rsidRPr="006958F3">
              <w:rPr>
                <w:b w:val="0"/>
                <w:sz w:val="20"/>
                <w:u w:val="none"/>
              </w:rPr>
              <w:t>b) kvality (viz poznámka pod čarou 1) v rámci vybraných tematických oblastí-bude vždy hodnoceno pouze subjekty, které mají danou oblast ve své gesci) a v rámci navržené škály.</w:t>
            </w:r>
          </w:p>
          <w:p w:rsidR="00220463" w:rsidRDefault="00220463" w:rsidP="00220463">
            <w:pPr>
              <w:pStyle w:val="Odstavecseseznamem"/>
              <w:spacing w:line="240" w:lineRule="auto"/>
              <w:ind w:right="46"/>
              <w:rPr>
                <w:b w:val="0"/>
                <w:sz w:val="20"/>
                <w:u w:val="none"/>
              </w:rPr>
            </w:pPr>
          </w:p>
          <w:p w:rsidR="00220463" w:rsidRDefault="00220463" w:rsidP="00220463">
            <w:pPr>
              <w:pStyle w:val="Odstavecseseznamem"/>
              <w:spacing w:line="240" w:lineRule="auto"/>
              <w:ind w:right="46"/>
              <w:rPr>
                <w:b w:val="0"/>
                <w:sz w:val="20"/>
                <w:u w:val="none"/>
              </w:rPr>
            </w:pPr>
          </w:p>
          <w:p w:rsidR="00220463" w:rsidRDefault="00220463" w:rsidP="00220463">
            <w:pPr>
              <w:pStyle w:val="Odstavecseseznamem"/>
              <w:spacing w:line="240" w:lineRule="auto"/>
              <w:ind w:right="46"/>
              <w:rPr>
                <w:b w:val="0"/>
                <w:sz w:val="20"/>
                <w:u w:val="none"/>
              </w:rPr>
            </w:pPr>
          </w:p>
          <w:p w:rsidR="00220463" w:rsidRDefault="00220463" w:rsidP="00220463">
            <w:pPr>
              <w:pStyle w:val="Odstavecseseznamem"/>
              <w:spacing w:line="240" w:lineRule="auto"/>
              <w:ind w:left="0" w:right="46"/>
            </w:pPr>
          </w:p>
        </w:tc>
      </w:tr>
    </w:tbl>
    <w:p w:rsidR="009E11B7" w:rsidRDefault="009E11B7" w:rsidP="006958F3">
      <w:pPr>
        <w:ind w:left="0" w:right="609"/>
      </w:pPr>
    </w:p>
    <w:p w:rsidR="00E210D1" w:rsidRDefault="00E210D1" w:rsidP="009E11B7">
      <w:pPr>
        <w:ind w:left="0" w:right="1"/>
      </w:pPr>
    </w:p>
    <w:tbl>
      <w:tblPr>
        <w:tblW w:w="14317" w:type="dxa"/>
        <w:tblInd w:w="-34" w:type="dxa"/>
        <w:tblCellMar>
          <w:top w:w="45" w:type="dxa"/>
          <w:right w:w="61" w:type="dxa"/>
        </w:tblCellMar>
        <w:tblLook w:val="04A0"/>
      </w:tblPr>
      <w:tblGrid>
        <w:gridCol w:w="2410"/>
        <w:gridCol w:w="1560"/>
        <w:gridCol w:w="10347"/>
      </w:tblGrid>
      <w:tr w:rsidR="00E210D1" w:rsidTr="00220463">
        <w:trPr>
          <w:trHeight w:val="1063"/>
        </w:trPr>
        <w:tc>
          <w:tcPr>
            <w:tcW w:w="2410" w:type="dxa"/>
            <w:tcBorders>
              <w:top w:val="single" w:sz="4" w:space="0" w:color="000000"/>
              <w:left w:val="single" w:sz="4" w:space="0" w:color="000000"/>
              <w:bottom w:val="single" w:sz="4" w:space="0" w:color="000000"/>
              <w:right w:val="single" w:sz="4" w:space="0" w:color="000000"/>
            </w:tcBorders>
          </w:tcPr>
          <w:p w:rsidR="00E210D1" w:rsidRPr="006958F3" w:rsidRDefault="00E210D1" w:rsidP="006958F3">
            <w:pPr>
              <w:spacing w:line="240" w:lineRule="auto"/>
              <w:ind w:left="0"/>
              <w:rPr>
                <w:sz w:val="20"/>
                <w:u w:val="none"/>
              </w:rPr>
            </w:pPr>
            <w:r w:rsidRPr="006958F3">
              <w:rPr>
                <w:u w:val="none"/>
              </w:rPr>
              <w:lastRenderedPageBreak/>
              <w:t xml:space="preserve">Vnímání vzájemného soužití a spolupráce komunit v příhraničním regionu </w:t>
            </w:r>
          </w:p>
          <w:p w:rsidR="00E210D1" w:rsidRPr="006958F3" w:rsidRDefault="00E210D1" w:rsidP="006958F3">
            <w:pPr>
              <w:ind w:left="0"/>
              <w:rPr>
                <w:sz w:val="20"/>
                <w:u w:val="none"/>
              </w:rPr>
            </w:pPr>
            <w:r w:rsidRPr="006958F3">
              <w:rPr>
                <w:u w:val="none"/>
              </w:rPr>
              <w:t xml:space="preserve"> </w:t>
            </w:r>
          </w:p>
          <w:p w:rsidR="00E210D1" w:rsidRDefault="00E210D1" w:rsidP="006958F3">
            <w:pPr>
              <w:ind w:left="0"/>
            </w:pPr>
            <w:r w:rsidRPr="006958F3">
              <w:rPr>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10D1" w:rsidRPr="006958F3" w:rsidRDefault="00E210D1" w:rsidP="006958F3">
            <w:pPr>
              <w:ind w:left="0"/>
              <w:rPr>
                <w:u w:val="none"/>
              </w:rPr>
            </w:pPr>
            <w:r w:rsidRPr="006958F3">
              <w:rPr>
                <w:u w:val="none"/>
              </w:rPr>
              <w:t xml:space="preserve">Škála </w:t>
            </w:r>
          </w:p>
        </w:tc>
        <w:tc>
          <w:tcPr>
            <w:tcW w:w="10347" w:type="dxa"/>
            <w:tcBorders>
              <w:top w:val="single" w:sz="4" w:space="0" w:color="000000"/>
              <w:left w:val="single" w:sz="4" w:space="0" w:color="000000"/>
              <w:bottom w:val="single" w:sz="4" w:space="0" w:color="000000"/>
              <w:right w:val="single" w:sz="4" w:space="0" w:color="000000"/>
            </w:tcBorders>
          </w:tcPr>
          <w:p w:rsidR="00E210D1" w:rsidRPr="006958F3" w:rsidRDefault="00E210D1" w:rsidP="006958F3">
            <w:pPr>
              <w:ind w:left="2"/>
              <w:rPr>
                <w:u w:val="none"/>
              </w:rPr>
            </w:pPr>
            <w:r w:rsidRPr="006958F3">
              <w:rPr>
                <w:sz w:val="20"/>
                <w:u w:val="none"/>
              </w:rPr>
              <w:t xml:space="preserve">PROJEKT: </w:t>
            </w:r>
          </w:p>
          <w:p w:rsidR="00E210D1" w:rsidRPr="006958F3" w:rsidRDefault="00E210D1" w:rsidP="006958F3">
            <w:pPr>
              <w:spacing w:after="39" w:line="246" w:lineRule="auto"/>
              <w:ind w:left="2" w:right="40"/>
              <w:rPr>
                <w:b w:val="0"/>
                <w:u w:val="none"/>
              </w:rPr>
            </w:pPr>
            <w:r w:rsidRPr="006958F3">
              <w:rPr>
                <w:b w:val="0"/>
                <w:sz w:val="20"/>
                <w:u w:val="none"/>
              </w:rPr>
              <w:t>Na úrovni projektu bude popsáno, jak projekt kvalitativně přispěje ke zlepšení vzájemného soužití a spolupráce komunit v příhraničním regionu.</w:t>
            </w:r>
            <w:r w:rsidRPr="006958F3">
              <w:rPr>
                <w:b w:val="0"/>
                <w:sz w:val="20"/>
                <w:u w:val="none"/>
                <w:vertAlign w:val="superscript"/>
              </w:rPr>
              <w:footnoteReference w:id="2"/>
            </w:r>
            <w:r w:rsidRPr="006958F3">
              <w:rPr>
                <w:b w:val="0"/>
                <w:sz w:val="20"/>
                <w:u w:val="none"/>
              </w:rPr>
              <w:t xml:space="preserve"> </w:t>
            </w:r>
          </w:p>
          <w:p w:rsidR="00E210D1" w:rsidRPr="006958F3" w:rsidRDefault="00E210D1" w:rsidP="006958F3">
            <w:pPr>
              <w:ind w:left="2"/>
              <w:rPr>
                <w:sz w:val="14"/>
              </w:rPr>
            </w:pPr>
            <w:r w:rsidRPr="006958F3">
              <w:rPr>
                <w:sz w:val="20"/>
              </w:rPr>
              <w:t xml:space="preserve"> </w:t>
            </w:r>
          </w:p>
          <w:p w:rsidR="00E210D1" w:rsidRPr="006958F3" w:rsidRDefault="00E210D1" w:rsidP="006958F3">
            <w:pPr>
              <w:ind w:left="2"/>
              <w:rPr>
                <w:u w:val="none"/>
              </w:rPr>
            </w:pPr>
            <w:r w:rsidRPr="006958F3">
              <w:rPr>
                <w:sz w:val="20"/>
                <w:u w:val="none"/>
              </w:rPr>
              <w:t xml:space="preserve">PROGRAM: </w:t>
            </w:r>
          </w:p>
          <w:p w:rsidR="00E210D1" w:rsidRPr="006958F3" w:rsidRDefault="00E210D1" w:rsidP="006958F3">
            <w:pPr>
              <w:spacing w:after="1" w:line="241" w:lineRule="auto"/>
              <w:ind w:left="2"/>
              <w:rPr>
                <w:b w:val="0"/>
                <w:u w:val="none"/>
              </w:rPr>
            </w:pPr>
            <w:r w:rsidRPr="006958F3">
              <w:rPr>
                <w:b w:val="0"/>
                <w:sz w:val="20"/>
                <w:u w:val="none"/>
              </w:rPr>
              <w:t xml:space="preserve">Na úrovni programu bude hodnota indikátoru zjišťována v rámci dotazníkového šetření, jehož metodika je v současné době připravována. </w:t>
            </w:r>
          </w:p>
          <w:p w:rsidR="00E210D1" w:rsidRPr="006958F3" w:rsidRDefault="00E210D1" w:rsidP="006958F3">
            <w:pPr>
              <w:ind w:left="2"/>
              <w:rPr>
                <w:b w:val="0"/>
                <w:u w:val="none"/>
              </w:rPr>
            </w:pPr>
            <w:r w:rsidRPr="006958F3">
              <w:rPr>
                <w:b w:val="0"/>
                <w:sz w:val="20"/>
                <w:u w:val="none"/>
              </w:rPr>
              <w:t xml:space="preserve"> </w:t>
            </w:r>
          </w:p>
          <w:p w:rsidR="00E210D1" w:rsidRPr="006958F3" w:rsidRDefault="00E210D1" w:rsidP="006958F3">
            <w:pPr>
              <w:spacing w:after="226" w:line="280" w:lineRule="auto"/>
              <w:ind w:left="2"/>
              <w:rPr>
                <w:b w:val="0"/>
                <w:u w:val="none"/>
              </w:rPr>
            </w:pPr>
            <w:r w:rsidRPr="006958F3">
              <w:rPr>
                <w:b w:val="0"/>
                <w:sz w:val="20"/>
                <w:u w:val="none"/>
              </w:rPr>
              <w:t xml:space="preserve">Předpokládá se, že metodika pro zjišťování indikátoru by měla zohlednit následující témata: </w:t>
            </w:r>
          </w:p>
          <w:p w:rsidR="00E210D1" w:rsidRPr="006958F3" w:rsidRDefault="00E210D1" w:rsidP="006958F3">
            <w:pPr>
              <w:pStyle w:val="Odstavecseseznamem"/>
              <w:numPr>
                <w:ilvl w:val="0"/>
                <w:numId w:val="7"/>
              </w:numPr>
              <w:spacing w:after="26" w:line="283" w:lineRule="auto"/>
              <w:ind w:right="46"/>
              <w:rPr>
                <w:b w:val="0"/>
                <w:u w:val="none"/>
              </w:rPr>
            </w:pPr>
            <w:r w:rsidRPr="006958F3">
              <w:rPr>
                <w:b w:val="0"/>
                <w:sz w:val="20"/>
                <w:u w:val="none"/>
              </w:rPr>
              <w:t xml:space="preserve">Intenzita a důvody vzájemného setkávání (intenzita </w:t>
            </w:r>
            <w:r w:rsidRPr="006958F3">
              <w:rPr>
                <w:b w:val="0"/>
                <w:sz w:val="20"/>
                <w:u w:val="none"/>
              </w:rPr>
              <w:tab/>
              <w:t xml:space="preserve">v jednotlivých oblastech definovaných uchazečem: </w:t>
            </w:r>
            <w:r w:rsidRPr="006958F3">
              <w:rPr>
                <w:b w:val="0"/>
                <w:sz w:val="20"/>
                <w:u w:val="none"/>
              </w:rPr>
              <w:tab/>
              <w:t xml:space="preserve">např. pracovně-ekonomická spolupráce – práce v zahraničí, nebo ekonomická činnost OSVČ ve 2. státě, dále např. společenské, kulturní a přátelské setkávání, aj.)  </w:t>
            </w:r>
          </w:p>
          <w:p w:rsidR="00E210D1" w:rsidRPr="006958F3" w:rsidRDefault="00E210D1" w:rsidP="006958F3">
            <w:pPr>
              <w:pStyle w:val="Odstavecseseznamem"/>
              <w:numPr>
                <w:ilvl w:val="0"/>
                <w:numId w:val="7"/>
              </w:numPr>
              <w:spacing w:after="50"/>
              <w:ind w:right="289"/>
              <w:rPr>
                <w:b w:val="0"/>
                <w:u w:val="none"/>
              </w:rPr>
            </w:pPr>
            <w:r w:rsidRPr="006958F3">
              <w:rPr>
                <w:b w:val="0"/>
                <w:sz w:val="20"/>
                <w:u w:val="none"/>
              </w:rPr>
              <w:t xml:space="preserve">kvalita vzájemného setkávání (viz pozn. pod čarou 2) </w:t>
            </w:r>
          </w:p>
          <w:p w:rsidR="00E210D1" w:rsidRPr="006958F3" w:rsidRDefault="00E210D1" w:rsidP="006958F3">
            <w:pPr>
              <w:pStyle w:val="Odstavecseseznamem"/>
              <w:numPr>
                <w:ilvl w:val="0"/>
                <w:numId w:val="7"/>
              </w:numPr>
              <w:ind w:right="46"/>
              <w:rPr>
                <w:b w:val="0"/>
                <w:u w:val="none"/>
              </w:rPr>
            </w:pPr>
            <w:r w:rsidRPr="006958F3">
              <w:rPr>
                <w:b w:val="0"/>
                <w:sz w:val="20"/>
                <w:u w:val="none"/>
              </w:rPr>
              <w:t xml:space="preserve">Vnímání obyvatel druhého státu  </w:t>
            </w:r>
          </w:p>
          <w:p w:rsidR="00E210D1" w:rsidRPr="00220463" w:rsidRDefault="00E210D1" w:rsidP="006958F3">
            <w:pPr>
              <w:pStyle w:val="Odstavecseseznamem"/>
              <w:numPr>
                <w:ilvl w:val="0"/>
                <w:numId w:val="7"/>
              </w:numPr>
              <w:ind w:right="46"/>
            </w:pPr>
            <w:r w:rsidRPr="006958F3">
              <w:rPr>
                <w:b w:val="0"/>
                <w:sz w:val="20"/>
                <w:u w:val="none"/>
              </w:rPr>
              <w:t>Vnímání intenzity překážek přeshraniční spolupráce (které faktory v jaké míře omezují přeshraniční spolupráci)</w:t>
            </w:r>
          </w:p>
          <w:p w:rsidR="00220463" w:rsidRDefault="00220463" w:rsidP="00220463">
            <w:pPr>
              <w:pStyle w:val="Odstavecseseznamem"/>
              <w:ind w:left="0" w:right="46"/>
            </w:pPr>
          </w:p>
        </w:tc>
      </w:tr>
    </w:tbl>
    <w:p w:rsidR="00920F8D" w:rsidRPr="000958EE" w:rsidRDefault="00920F8D" w:rsidP="00E210D1">
      <w:pPr>
        <w:spacing w:after="131"/>
        <w:ind w:left="157"/>
        <w:jc w:val="center"/>
      </w:pPr>
    </w:p>
    <w:sectPr w:rsidR="00920F8D" w:rsidRPr="000958EE" w:rsidSect="00473E8F">
      <w:headerReference w:type="even" r:id="rId8"/>
      <w:headerReference w:type="default" r:id="rId9"/>
      <w:footerReference w:type="even" r:id="rId10"/>
      <w:footerReference w:type="default" r:id="rId11"/>
      <w:headerReference w:type="first" r:id="rId12"/>
      <w:footerReference w:type="first" r:id="rId13"/>
      <w:pgSz w:w="16838" w:h="11906" w:orient="landscape"/>
      <w:pgMar w:top="1069" w:right="1387" w:bottom="1424" w:left="1416" w:header="284" w:footer="30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F33" w:rsidRDefault="00341F33">
      <w:pPr>
        <w:spacing w:line="240" w:lineRule="auto"/>
      </w:pPr>
      <w:r>
        <w:separator/>
      </w:r>
    </w:p>
  </w:endnote>
  <w:endnote w:type="continuationSeparator" w:id="0">
    <w:p w:rsidR="00341F33" w:rsidRDefault="00341F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8D" w:rsidRDefault="00F43679">
    <w:pPr>
      <w:ind w:left="6158"/>
      <w:jc w:val="center"/>
    </w:pPr>
    <w:r w:rsidRPr="00F43679">
      <w:fldChar w:fldCharType="begin"/>
    </w:r>
    <w:r w:rsidR="00C440A4">
      <w:instrText xml:space="preserve"> PAGE   \* MERGEFORMAT </w:instrText>
    </w:r>
    <w:r w:rsidRPr="00F43679">
      <w:fldChar w:fldCharType="separate"/>
    </w:r>
    <w:r w:rsidR="00C440A4">
      <w:rPr>
        <w:b w:val="0"/>
        <w:u w:val="none"/>
      </w:rPr>
      <w:t>1</w:t>
    </w:r>
    <w:r>
      <w:rPr>
        <w:b w:val="0"/>
        <w:u w:val="none"/>
      </w:rPr>
      <w:fldChar w:fldCharType="end"/>
    </w:r>
    <w:r w:rsidR="00C440A4">
      <w:rPr>
        <w:b w:val="0"/>
        <w:u w:val="none"/>
      </w:rPr>
      <w:t xml:space="preserve"> </w:t>
    </w:r>
  </w:p>
  <w:p w:rsidR="00920F8D" w:rsidRDefault="00C440A4">
    <w:pPr>
      <w:ind w:left="0"/>
    </w:pPr>
    <w:r>
      <w:rPr>
        <w:b w:val="0"/>
        <w:u w:val="none"/>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C9" w:rsidRDefault="00926A59" w:rsidP="00926A59">
    <w:pPr>
      <w:pStyle w:val="Zpat"/>
      <w:tabs>
        <w:tab w:val="left" w:pos="12675"/>
        <w:tab w:val="right" w:pos="14035"/>
      </w:tabs>
      <w:jc w:val="center"/>
    </w:pPr>
    <w:r w:rsidRPr="00EA2C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3.75pt;height:33pt;visibility:visible">
          <v:imagedata r:id="rId1" o:title=""/>
        </v:shape>
      </w:pict>
    </w:r>
  </w:p>
  <w:p w:rsidR="00920F8D" w:rsidRDefault="00920F8D">
    <w:pP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8D" w:rsidRDefault="00F43679">
    <w:pPr>
      <w:ind w:left="6158"/>
      <w:jc w:val="center"/>
    </w:pPr>
    <w:r w:rsidRPr="00F43679">
      <w:fldChar w:fldCharType="begin"/>
    </w:r>
    <w:r w:rsidR="00C440A4">
      <w:instrText xml:space="preserve"> PAGE   \* MERGEFORMAT </w:instrText>
    </w:r>
    <w:r w:rsidRPr="00F43679">
      <w:fldChar w:fldCharType="separate"/>
    </w:r>
    <w:r w:rsidR="00C440A4">
      <w:rPr>
        <w:b w:val="0"/>
        <w:u w:val="none"/>
      </w:rPr>
      <w:t>1</w:t>
    </w:r>
    <w:r>
      <w:rPr>
        <w:b w:val="0"/>
        <w:u w:val="none"/>
      </w:rPr>
      <w:fldChar w:fldCharType="end"/>
    </w:r>
    <w:r w:rsidR="00C440A4">
      <w:rPr>
        <w:b w:val="0"/>
        <w:u w:val="none"/>
      </w:rPr>
      <w:t xml:space="preserve"> </w:t>
    </w:r>
  </w:p>
  <w:p w:rsidR="00920F8D" w:rsidRDefault="00C440A4">
    <w:pPr>
      <w:ind w:left="0"/>
    </w:pPr>
    <w:r>
      <w:rPr>
        <w:b w:val="0"/>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F33" w:rsidRPr="002F383F" w:rsidRDefault="00341F33" w:rsidP="002F383F">
      <w:pPr>
        <w:pStyle w:val="Zpat"/>
      </w:pPr>
      <w:r>
        <w:t>____________________________________________</w:t>
      </w:r>
    </w:p>
  </w:footnote>
  <w:footnote w:type="continuationSeparator" w:id="0">
    <w:p w:rsidR="00341F33" w:rsidRDefault="00341F33">
      <w:pPr>
        <w:spacing w:line="240" w:lineRule="auto"/>
      </w:pPr>
      <w:r>
        <w:continuationSeparator/>
      </w:r>
    </w:p>
  </w:footnote>
  <w:footnote w:id="1">
    <w:p w:rsidR="009E11B7" w:rsidRDefault="009E11B7" w:rsidP="009E11B7">
      <w:pPr>
        <w:pStyle w:val="footnotedescription"/>
        <w:spacing w:line="259" w:lineRule="auto"/>
      </w:pPr>
      <w:r>
        <w:rPr>
          <w:rStyle w:val="footnotemark"/>
        </w:rPr>
        <w:footnoteRef/>
      </w:r>
      <w:r>
        <w:t xml:space="preserve"> Kvalitou je zde míněna např. dlouhodobost a výsledky spolupráce, tj. zdali se např. jedná jen o spolupráci na úrovni společenského setkávání bez toho, aniž by byly nastaveny dlouhodobější mechanismy další spolupráce, nebo zdali se jedná např. o spolupráci, jejímž výsledkem je nastavení systémových řešení uplatňovaných v praxi aj. </w:t>
      </w:r>
    </w:p>
  </w:footnote>
  <w:footnote w:id="2">
    <w:p w:rsidR="00E210D1" w:rsidRPr="00220463" w:rsidRDefault="00E210D1" w:rsidP="00E210D1">
      <w:pPr>
        <w:pStyle w:val="footnotedescription"/>
        <w:spacing w:line="259" w:lineRule="auto"/>
        <w:rPr>
          <w:sz w:val="20"/>
          <w:szCs w:val="20"/>
        </w:rPr>
      </w:pPr>
      <w:r w:rsidRPr="00220463">
        <w:rPr>
          <w:rStyle w:val="footnotemark"/>
          <w:szCs w:val="20"/>
        </w:rPr>
        <w:footnoteRef/>
      </w:r>
      <w:r w:rsidRPr="00220463">
        <w:rPr>
          <w:sz w:val="20"/>
          <w:szCs w:val="20"/>
        </w:rPr>
        <w:t xml:space="preserve"> Kvalitou je zde míněna ve vztahu ke spolupráci komunit např. dlouhodobost a výsledky spolupráce, tj. zdali se např. jedná jen o spolupráci na úrovni společenského setkávání bez toho, aniž by byly nastaveny dlouhodobější mechanismy další spolupráce, nebo zdali se jedná např. o spolupráci, jejímž výsledkem je nastavení systémových řešení uplatňovaných v praxi aj. </w:t>
      </w:r>
    </w:p>
    <w:p w:rsidR="00E210D1" w:rsidRDefault="00E210D1" w:rsidP="00E210D1">
      <w:pPr>
        <w:pStyle w:val="footnotedescription"/>
        <w:ind w:right="71"/>
      </w:pPr>
      <w:r w:rsidRPr="00220463">
        <w:rPr>
          <w:sz w:val="20"/>
          <w:szCs w:val="20"/>
        </w:rPr>
        <w:t>Ve vztahu k obyvatelům regionu se může jednat např. o zhodnocení, zdali vzájemné setkávání obyvatel prohlubuje např. jejich zájem o častější pobyt v druhé zemi, vede k dlouhodobým přátelským stykům, nebo rozvíjí dlouhodobé profesní a pracovní kontakty apod.</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8D" w:rsidRDefault="00C440A4">
    <w:pPr>
      <w:tabs>
        <w:tab w:val="center" w:pos="9073"/>
        <w:tab w:val="center" w:pos="9913"/>
        <w:tab w:val="center" w:pos="10621"/>
        <w:tab w:val="center" w:pos="11329"/>
        <w:tab w:val="center" w:pos="12038"/>
        <w:tab w:val="right" w:pos="13978"/>
      </w:tabs>
      <w:spacing w:after="11"/>
      <w:ind w:left="0" w:right="-6131"/>
    </w:pPr>
    <w:r>
      <w:rPr>
        <w:rFonts w:ascii="Arial" w:eastAsia="Arial" w:hAnsi="Arial" w:cs="Arial"/>
        <w:b w:val="0"/>
        <w:sz w:val="20"/>
        <w:u w:val="none"/>
      </w:rPr>
      <w:t xml:space="preserve">Příručka pro žadatele programu Interreg V-A Česká republika – Polsko, verze 1 </w:t>
    </w:r>
    <w:r>
      <w:rPr>
        <w:rFonts w:ascii="Arial" w:eastAsia="Arial" w:hAnsi="Arial" w:cs="Arial"/>
        <w:b w:val="0"/>
        <w:sz w:val="20"/>
        <w:u w:val="none"/>
      </w:rPr>
      <w:tab/>
      <w:t xml:space="preserve">  </w:t>
    </w:r>
    <w:r>
      <w:rPr>
        <w:rFonts w:ascii="Arial" w:eastAsia="Arial" w:hAnsi="Arial" w:cs="Arial"/>
        <w:b w:val="0"/>
        <w:sz w:val="20"/>
        <w:u w:val="none"/>
      </w:rPr>
      <w:tab/>
      <w:t xml:space="preserve"> </w:t>
    </w:r>
    <w:r>
      <w:rPr>
        <w:rFonts w:ascii="Arial" w:eastAsia="Arial" w:hAnsi="Arial" w:cs="Arial"/>
        <w:b w:val="0"/>
        <w:sz w:val="20"/>
        <w:u w:val="none"/>
      </w:rPr>
      <w:tab/>
      <w:t xml:space="preserve"> </w:t>
    </w:r>
    <w:r>
      <w:rPr>
        <w:rFonts w:ascii="Arial" w:eastAsia="Arial" w:hAnsi="Arial" w:cs="Arial"/>
        <w:b w:val="0"/>
        <w:sz w:val="20"/>
        <w:u w:val="none"/>
      </w:rPr>
      <w:tab/>
      <w:t xml:space="preserve"> </w:t>
    </w:r>
    <w:r>
      <w:rPr>
        <w:rFonts w:ascii="Arial" w:eastAsia="Arial" w:hAnsi="Arial" w:cs="Arial"/>
        <w:b w:val="0"/>
        <w:sz w:val="20"/>
        <w:u w:val="none"/>
      </w:rPr>
      <w:tab/>
      <w:t xml:space="preserve"> </w:t>
    </w:r>
    <w:r>
      <w:rPr>
        <w:rFonts w:ascii="Arial" w:eastAsia="Arial" w:hAnsi="Arial" w:cs="Arial"/>
        <w:b w:val="0"/>
        <w:sz w:val="20"/>
        <w:u w:val="none"/>
      </w:rPr>
      <w:tab/>
      <w:t xml:space="preserve">  Příloha č. 19 </w:t>
    </w:r>
  </w:p>
  <w:p w:rsidR="00920F8D" w:rsidRDefault="00C440A4">
    <w:pPr>
      <w:ind w:left="0"/>
    </w:pPr>
    <w:r>
      <w:rPr>
        <w:b w:val="0"/>
        <w:u w:val="none"/>
      </w:rPr>
      <w:t xml:space="preserve"> </w:t>
    </w:r>
  </w:p>
  <w:p w:rsidR="00920F8D" w:rsidRDefault="00C440A4">
    <w:pPr>
      <w:ind w:left="0"/>
    </w:pPr>
    <w:r>
      <w:rPr>
        <w:b w:val="0"/>
        <w:u w:val="non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8A" w:rsidRDefault="00492C8A">
    <w:pPr>
      <w:tabs>
        <w:tab w:val="center" w:pos="9073"/>
        <w:tab w:val="center" w:pos="9913"/>
        <w:tab w:val="center" w:pos="10621"/>
        <w:tab w:val="center" w:pos="11329"/>
        <w:tab w:val="center" w:pos="12038"/>
        <w:tab w:val="right" w:pos="13978"/>
      </w:tabs>
      <w:spacing w:after="11"/>
      <w:ind w:left="0" w:right="-6131"/>
      <w:rPr>
        <w:rFonts w:ascii="Arial" w:eastAsia="Arial" w:hAnsi="Arial" w:cs="Arial"/>
        <w:b w:val="0"/>
        <w:sz w:val="20"/>
        <w:u w:val="none"/>
      </w:rPr>
    </w:pPr>
  </w:p>
  <w:p w:rsidR="006958F3" w:rsidRDefault="004B11C9" w:rsidP="00492C8A">
    <w:pPr>
      <w:tabs>
        <w:tab w:val="center" w:pos="9073"/>
        <w:tab w:val="center" w:pos="9913"/>
        <w:tab w:val="center" w:pos="10621"/>
        <w:tab w:val="center" w:pos="11329"/>
        <w:tab w:val="center" w:pos="12038"/>
        <w:tab w:val="right" w:pos="13978"/>
      </w:tabs>
      <w:spacing w:after="11"/>
      <w:ind w:left="0" w:right="-6131"/>
      <w:rPr>
        <w:rFonts w:ascii="Arial" w:eastAsia="Arial" w:hAnsi="Arial" w:cs="Arial"/>
        <w:sz w:val="20"/>
        <w:u w:val="none"/>
      </w:rPr>
    </w:pPr>
    <w:r w:rsidRPr="004B11C9">
      <w:rPr>
        <w:rFonts w:ascii="Arial" w:eastAsia="Arial" w:hAnsi="Arial" w:cs="Arial"/>
        <w:b w:val="0"/>
        <w:sz w:val="20"/>
        <w:u w:val="none"/>
      </w:rPr>
      <w:t xml:space="preserve">Fond mikroprojektů v Euroregionu </w:t>
    </w:r>
    <w:r w:rsidR="006958F3">
      <w:rPr>
        <w:rFonts w:ascii="Arial" w:eastAsia="Arial" w:hAnsi="Arial" w:cs="Arial"/>
        <w:b w:val="0"/>
        <w:sz w:val="20"/>
        <w:u w:val="none"/>
      </w:rPr>
      <w:t>Beskydy / Beskidy</w:t>
    </w:r>
    <w:r w:rsidRPr="004B11C9">
      <w:rPr>
        <w:rFonts w:ascii="Arial" w:eastAsia="Arial" w:hAnsi="Arial" w:cs="Arial"/>
        <w:b w:val="0"/>
        <w:sz w:val="20"/>
        <w:u w:val="none"/>
      </w:rPr>
      <w:t xml:space="preserve">, verze </w:t>
    </w:r>
    <w:r w:rsidR="001245AC">
      <w:rPr>
        <w:rFonts w:ascii="Arial" w:eastAsia="Arial" w:hAnsi="Arial" w:cs="Arial"/>
        <w:b w:val="0"/>
        <w:sz w:val="20"/>
        <w:u w:val="none"/>
      </w:rPr>
      <w:t>2</w:t>
    </w:r>
    <w:r w:rsidRPr="004B11C9">
      <w:rPr>
        <w:rFonts w:ascii="Arial" w:eastAsia="Arial" w:hAnsi="Arial" w:cs="Arial"/>
        <w:b w:val="0"/>
        <w:sz w:val="20"/>
        <w:u w:val="none"/>
      </w:rPr>
      <w:tab/>
    </w:r>
    <w:r w:rsidR="006958F3">
      <w:rPr>
        <w:rFonts w:ascii="Arial" w:eastAsia="Arial" w:hAnsi="Arial" w:cs="Arial"/>
        <w:b w:val="0"/>
        <w:sz w:val="20"/>
        <w:u w:val="none"/>
      </w:rPr>
      <w:tab/>
      <w:t xml:space="preserve">  </w:t>
    </w:r>
    <w:r w:rsidR="006958F3">
      <w:rPr>
        <w:rFonts w:ascii="Arial" w:eastAsia="Arial" w:hAnsi="Arial" w:cs="Arial"/>
        <w:b w:val="0"/>
        <w:sz w:val="20"/>
        <w:u w:val="none"/>
      </w:rPr>
      <w:tab/>
      <w:t xml:space="preserve"> </w:t>
    </w:r>
    <w:r w:rsidR="006958F3">
      <w:rPr>
        <w:rFonts w:ascii="Arial" w:eastAsia="Arial" w:hAnsi="Arial" w:cs="Arial"/>
        <w:b w:val="0"/>
        <w:sz w:val="20"/>
        <w:u w:val="none"/>
      </w:rPr>
      <w:tab/>
      <w:t xml:space="preserve"> </w:t>
    </w:r>
    <w:r w:rsidRPr="004B11C9">
      <w:rPr>
        <w:rFonts w:ascii="Arial" w:eastAsia="Arial" w:hAnsi="Arial" w:cs="Arial"/>
        <w:sz w:val="20"/>
        <w:u w:val="none"/>
      </w:rPr>
      <w:t xml:space="preserve">Příloha č. </w:t>
    </w:r>
    <w:bookmarkStart w:id="0" w:name="_GoBack"/>
    <w:bookmarkEnd w:id="0"/>
    <w:r w:rsidR="00C66FE6">
      <w:rPr>
        <w:rFonts w:ascii="Arial" w:eastAsia="Arial" w:hAnsi="Arial" w:cs="Arial"/>
        <w:sz w:val="20"/>
        <w:u w:val="none"/>
      </w:rPr>
      <w:t>6</w:t>
    </w:r>
    <w:r w:rsidRPr="004B11C9">
      <w:rPr>
        <w:rFonts w:ascii="Arial" w:eastAsia="Arial" w:hAnsi="Arial" w:cs="Arial"/>
        <w:sz w:val="20"/>
        <w:u w:val="none"/>
      </w:rPr>
      <w:t xml:space="preserve">  Směrnice</w:t>
    </w:r>
    <w:r w:rsidR="006958F3">
      <w:rPr>
        <w:rFonts w:ascii="Arial" w:eastAsia="Arial" w:hAnsi="Arial" w:cs="Arial"/>
        <w:sz w:val="20"/>
        <w:u w:val="none"/>
      </w:rPr>
      <w:t xml:space="preserve"> pro žadatele</w:t>
    </w:r>
  </w:p>
  <w:p w:rsidR="00920F8D" w:rsidRPr="004B11C9" w:rsidRDefault="006958F3" w:rsidP="006958F3">
    <w:pPr>
      <w:pStyle w:val="Zhlav"/>
      <w:spacing w:after="0" w:line="240" w:lineRule="auto"/>
    </w:pPr>
    <w:r>
      <w:t xml:space="preserve">Program INTERREG V-A Česká republika </w:t>
    </w:r>
    <w:r w:rsidR="00DD6E0F">
      <w:t>–</w:t>
    </w:r>
    <w:r>
      <w:t xml:space="preserve"> Polsko</w:t>
    </w:r>
    <w:r w:rsidR="00DD6E0F">
      <w:t xml:space="preserve"> </w:t>
    </w:r>
    <w:r w:rsidR="00C440A4" w:rsidRPr="004B11C9">
      <w:t xml:space="preserve"> </w:t>
    </w:r>
    <w:r w:rsidR="00DD6E0F">
      <w:t xml:space="preserve">                                                                                                                           </w:t>
    </w:r>
    <w:r w:rsidR="00DD6E0F" w:rsidRPr="00DD6E0F">
      <w:rPr>
        <w:rFonts w:cs="Arial"/>
        <w:b/>
      </w:rPr>
      <w:t>Definice ukazatelů výstupů a výsledků</w:t>
    </w:r>
  </w:p>
  <w:p w:rsidR="00920F8D" w:rsidRDefault="00C440A4">
    <w:pPr>
      <w:ind w:left="0"/>
    </w:pPr>
    <w:r>
      <w:rPr>
        <w:b w:val="0"/>
        <w:u w:val="non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8D" w:rsidRDefault="00C440A4">
    <w:pPr>
      <w:tabs>
        <w:tab w:val="center" w:pos="9073"/>
        <w:tab w:val="center" w:pos="9913"/>
        <w:tab w:val="center" w:pos="10621"/>
        <w:tab w:val="center" w:pos="11329"/>
        <w:tab w:val="center" w:pos="12038"/>
        <w:tab w:val="right" w:pos="13978"/>
      </w:tabs>
      <w:spacing w:after="11"/>
      <w:ind w:left="0" w:right="-6131"/>
    </w:pPr>
    <w:r>
      <w:rPr>
        <w:rFonts w:ascii="Arial" w:eastAsia="Arial" w:hAnsi="Arial" w:cs="Arial"/>
        <w:b w:val="0"/>
        <w:sz w:val="20"/>
        <w:u w:val="none"/>
      </w:rPr>
      <w:t xml:space="preserve">Příručka pro žadatele programu Interreg V-A Česká republika – Polsko, verze 1 </w:t>
    </w:r>
    <w:r>
      <w:rPr>
        <w:rFonts w:ascii="Arial" w:eastAsia="Arial" w:hAnsi="Arial" w:cs="Arial"/>
        <w:b w:val="0"/>
        <w:sz w:val="20"/>
        <w:u w:val="none"/>
      </w:rPr>
      <w:tab/>
      <w:t xml:space="preserve">  </w:t>
    </w:r>
    <w:r>
      <w:rPr>
        <w:rFonts w:ascii="Arial" w:eastAsia="Arial" w:hAnsi="Arial" w:cs="Arial"/>
        <w:b w:val="0"/>
        <w:sz w:val="20"/>
        <w:u w:val="none"/>
      </w:rPr>
      <w:tab/>
      <w:t xml:space="preserve"> </w:t>
    </w:r>
    <w:r>
      <w:rPr>
        <w:rFonts w:ascii="Arial" w:eastAsia="Arial" w:hAnsi="Arial" w:cs="Arial"/>
        <w:b w:val="0"/>
        <w:sz w:val="20"/>
        <w:u w:val="none"/>
      </w:rPr>
      <w:tab/>
      <w:t xml:space="preserve"> </w:t>
    </w:r>
    <w:r>
      <w:rPr>
        <w:rFonts w:ascii="Arial" w:eastAsia="Arial" w:hAnsi="Arial" w:cs="Arial"/>
        <w:b w:val="0"/>
        <w:sz w:val="20"/>
        <w:u w:val="none"/>
      </w:rPr>
      <w:tab/>
      <w:t xml:space="preserve"> </w:t>
    </w:r>
    <w:r>
      <w:rPr>
        <w:rFonts w:ascii="Arial" w:eastAsia="Arial" w:hAnsi="Arial" w:cs="Arial"/>
        <w:b w:val="0"/>
        <w:sz w:val="20"/>
        <w:u w:val="none"/>
      </w:rPr>
      <w:tab/>
      <w:t xml:space="preserve"> </w:t>
    </w:r>
    <w:r>
      <w:rPr>
        <w:rFonts w:ascii="Arial" w:eastAsia="Arial" w:hAnsi="Arial" w:cs="Arial"/>
        <w:b w:val="0"/>
        <w:sz w:val="20"/>
        <w:u w:val="none"/>
      </w:rPr>
      <w:tab/>
      <w:t xml:space="preserve">  Příloha č. 19 </w:t>
    </w:r>
  </w:p>
  <w:p w:rsidR="00920F8D" w:rsidRDefault="00C440A4">
    <w:pPr>
      <w:ind w:left="0"/>
    </w:pPr>
    <w:r>
      <w:rPr>
        <w:b w:val="0"/>
        <w:u w:val="none"/>
      </w:rPr>
      <w:t xml:space="preserve"> </w:t>
    </w:r>
  </w:p>
  <w:p w:rsidR="00920F8D" w:rsidRDefault="00C440A4">
    <w:pPr>
      <w:ind w:left="0"/>
    </w:pPr>
    <w:r>
      <w:rPr>
        <w:b w:val="0"/>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934"/>
    <w:multiLevelType w:val="hybridMultilevel"/>
    <w:tmpl w:val="9A44C2B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690672"/>
    <w:multiLevelType w:val="hybridMultilevel"/>
    <w:tmpl w:val="C7268AD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612667"/>
    <w:multiLevelType w:val="hybridMultilevel"/>
    <w:tmpl w:val="EDDCB74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691697"/>
    <w:multiLevelType w:val="hybridMultilevel"/>
    <w:tmpl w:val="9CD87D78"/>
    <w:lvl w:ilvl="0" w:tplc="04050003">
      <w:start w:val="1"/>
      <w:numFmt w:val="bullet"/>
      <w:lvlText w:val="o"/>
      <w:lvlJc w:val="left"/>
      <w:pPr>
        <w:ind w:left="2236" w:hanging="360"/>
      </w:pPr>
      <w:rPr>
        <w:rFonts w:ascii="Courier New" w:hAnsi="Courier New" w:cs="Courier New" w:hint="default"/>
      </w:rPr>
    </w:lvl>
    <w:lvl w:ilvl="1" w:tplc="04050003" w:tentative="1">
      <w:start w:val="1"/>
      <w:numFmt w:val="bullet"/>
      <w:lvlText w:val="o"/>
      <w:lvlJc w:val="left"/>
      <w:pPr>
        <w:ind w:left="2956" w:hanging="360"/>
      </w:pPr>
      <w:rPr>
        <w:rFonts w:ascii="Courier New" w:hAnsi="Courier New" w:cs="Courier New" w:hint="default"/>
      </w:rPr>
    </w:lvl>
    <w:lvl w:ilvl="2" w:tplc="04050005" w:tentative="1">
      <w:start w:val="1"/>
      <w:numFmt w:val="bullet"/>
      <w:lvlText w:val=""/>
      <w:lvlJc w:val="left"/>
      <w:pPr>
        <w:ind w:left="3676" w:hanging="360"/>
      </w:pPr>
      <w:rPr>
        <w:rFonts w:ascii="Wingdings" w:hAnsi="Wingdings" w:hint="default"/>
      </w:rPr>
    </w:lvl>
    <w:lvl w:ilvl="3" w:tplc="04050001" w:tentative="1">
      <w:start w:val="1"/>
      <w:numFmt w:val="bullet"/>
      <w:lvlText w:val=""/>
      <w:lvlJc w:val="left"/>
      <w:pPr>
        <w:ind w:left="4396" w:hanging="360"/>
      </w:pPr>
      <w:rPr>
        <w:rFonts w:ascii="Symbol" w:hAnsi="Symbol" w:hint="default"/>
      </w:rPr>
    </w:lvl>
    <w:lvl w:ilvl="4" w:tplc="04050003" w:tentative="1">
      <w:start w:val="1"/>
      <w:numFmt w:val="bullet"/>
      <w:lvlText w:val="o"/>
      <w:lvlJc w:val="left"/>
      <w:pPr>
        <w:ind w:left="5116" w:hanging="360"/>
      </w:pPr>
      <w:rPr>
        <w:rFonts w:ascii="Courier New" w:hAnsi="Courier New" w:cs="Courier New" w:hint="default"/>
      </w:rPr>
    </w:lvl>
    <w:lvl w:ilvl="5" w:tplc="04050005" w:tentative="1">
      <w:start w:val="1"/>
      <w:numFmt w:val="bullet"/>
      <w:lvlText w:val=""/>
      <w:lvlJc w:val="left"/>
      <w:pPr>
        <w:ind w:left="5836" w:hanging="360"/>
      </w:pPr>
      <w:rPr>
        <w:rFonts w:ascii="Wingdings" w:hAnsi="Wingdings" w:hint="default"/>
      </w:rPr>
    </w:lvl>
    <w:lvl w:ilvl="6" w:tplc="04050001" w:tentative="1">
      <w:start w:val="1"/>
      <w:numFmt w:val="bullet"/>
      <w:lvlText w:val=""/>
      <w:lvlJc w:val="left"/>
      <w:pPr>
        <w:ind w:left="6556" w:hanging="360"/>
      </w:pPr>
      <w:rPr>
        <w:rFonts w:ascii="Symbol" w:hAnsi="Symbol" w:hint="default"/>
      </w:rPr>
    </w:lvl>
    <w:lvl w:ilvl="7" w:tplc="04050003" w:tentative="1">
      <w:start w:val="1"/>
      <w:numFmt w:val="bullet"/>
      <w:lvlText w:val="o"/>
      <w:lvlJc w:val="left"/>
      <w:pPr>
        <w:ind w:left="7276" w:hanging="360"/>
      </w:pPr>
      <w:rPr>
        <w:rFonts w:ascii="Courier New" w:hAnsi="Courier New" w:cs="Courier New" w:hint="default"/>
      </w:rPr>
    </w:lvl>
    <w:lvl w:ilvl="8" w:tplc="04050005" w:tentative="1">
      <w:start w:val="1"/>
      <w:numFmt w:val="bullet"/>
      <w:lvlText w:val=""/>
      <w:lvlJc w:val="left"/>
      <w:pPr>
        <w:ind w:left="7996" w:hanging="360"/>
      </w:pPr>
      <w:rPr>
        <w:rFonts w:ascii="Wingdings" w:hAnsi="Wingdings" w:hint="default"/>
      </w:rPr>
    </w:lvl>
  </w:abstractNum>
  <w:abstractNum w:abstractNumId="4">
    <w:nsid w:val="1F942E1A"/>
    <w:multiLevelType w:val="hybridMultilevel"/>
    <w:tmpl w:val="D9763742"/>
    <w:lvl w:ilvl="0" w:tplc="04050003">
      <w:start w:val="1"/>
      <w:numFmt w:val="bullet"/>
      <w:lvlText w:val="o"/>
      <w:lvlJc w:val="left"/>
      <w:pPr>
        <w:ind w:left="765" w:hanging="360"/>
      </w:pPr>
      <w:rPr>
        <w:rFonts w:ascii="Courier New" w:hAnsi="Courier New" w:cs="Courier New"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nsid w:val="25254285"/>
    <w:multiLevelType w:val="hybridMultilevel"/>
    <w:tmpl w:val="B5CE1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7F499B"/>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9E1834"/>
    <w:multiLevelType w:val="hybridMultilevel"/>
    <w:tmpl w:val="63C607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D00D66"/>
    <w:multiLevelType w:val="hybridMultilevel"/>
    <w:tmpl w:val="744295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960C6F"/>
    <w:multiLevelType w:val="hybridMultilevel"/>
    <w:tmpl w:val="67C69C30"/>
    <w:lvl w:ilvl="0" w:tplc="56D0DE2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180B9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A8F9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729F2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D06A9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F4DD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506DA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7693B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0470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CD46819"/>
    <w:multiLevelType w:val="hybridMultilevel"/>
    <w:tmpl w:val="8452A804"/>
    <w:lvl w:ilvl="0" w:tplc="1B0A9838">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68768">
      <w:start w:val="1"/>
      <w:numFmt w:val="lowerLetter"/>
      <w:lvlText w:val="%2"/>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49F0C">
      <w:start w:val="1"/>
      <w:numFmt w:val="lowerRoman"/>
      <w:lvlText w:val="%3"/>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68442">
      <w:start w:val="1"/>
      <w:numFmt w:val="decimal"/>
      <w:lvlText w:val="%4"/>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8E990">
      <w:start w:val="1"/>
      <w:numFmt w:val="lowerLetter"/>
      <w:lvlText w:val="%5"/>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B8C85E">
      <w:start w:val="1"/>
      <w:numFmt w:val="lowerRoman"/>
      <w:lvlText w:val="%6"/>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AAABA0">
      <w:start w:val="1"/>
      <w:numFmt w:val="decimal"/>
      <w:lvlText w:val="%7"/>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AF36C">
      <w:start w:val="1"/>
      <w:numFmt w:val="lowerLetter"/>
      <w:lvlText w:val="%8"/>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ED83E">
      <w:start w:val="1"/>
      <w:numFmt w:val="lowerRoman"/>
      <w:lvlText w:val="%9"/>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60933BF0"/>
    <w:multiLevelType w:val="hybridMultilevel"/>
    <w:tmpl w:val="3B20CE0A"/>
    <w:lvl w:ilvl="0" w:tplc="DDF00440">
      <w:start w:val="1"/>
      <w:numFmt w:val="bullet"/>
      <w:lvlText w:val="o"/>
      <w:lvlJc w:val="left"/>
      <w:pPr>
        <w:ind w:left="21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DCE9766">
      <w:start w:val="1"/>
      <w:numFmt w:val="bullet"/>
      <w:lvlText w:val="o"/>
      <w:lvlJc w:val="left"/>
      <w:pPr>
        <w:ind w:left="29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3425EBC">
      <w:start w:val="1"/>
      <w:numFmt w:val="bullet"/>
      <w:lvlText w:val="▪"/>
      <w:lvlJc w:val="left"/>
      <w:pPr>
        <w:ind w:left="37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E900FA2">
      <w:start w:val="1"/>
      <w:numFmt w:val="bullet"/>
      <w:lvlText w:val="•"/>
      <w:lvlJc w:val="left"/>
      <w:pPr>
        <w:ind w:left="44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BEAD4CA">
      <w:start w:val="1"/>
      <w:numFmt w:val="bullet"/>
      <w:lvlText w:val="o"/>
      <w:lvlJc w:val="left"/>
      <w:pPr>
        <w:ind w:left="51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7FEDDF0">
      <w:start w:val="1"/>
      <w:numFmt w:val="bullet"/>
      <w:lvlText w:val="▪"/>
      <w:lvlJc w:val="left"/>
      <w:pPr>
        <w:ind w:left="58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D6CC594">
      <w:start w:val="1"/>
      <w:numFmt w:val="bullet"/>
      <w:lvlText w:val="•"/>
      <w:lvlJc w:val="left"/>
      <w:pPr>
        <w:ind w:left="65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F23CD8">
      <w:start w:val="1"/>
      <w:numFmt w:val="bullet"/>
      <w:lvlText w:val="o"/>
      <w:lvlJc w:val="left"/>
      <w:pPr>
        <w:ind w:left="73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F7EBD4E">
      <w:start w:val="1"/>
      <w:numFmt w:val="bullet"/>
      <w:lvlText w:val="▪"/>
      <w:lvlJc w:val="left"/>
      <w:pPr>
        <w:ind w:left="80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nsid w:val="65D024AE"/>
    <w:multiLevelType w:val="hybridMultilevel"/>
    <w:tmpl w:val="5F98D9C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AE05AF6"/>
    <w:multiLevelType w:val="hybridMultilevel"/>
    <w:tmpl w:val="36723D2E"/>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F80B15"/>
    <w:multiLevelType w:val="hybridMultilevel"/>
    <w:tmpl w:val="F8BAB04C"/>
    <w:lvl w:ilvl="0" w:tplc="1C6CDB0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13"/>
  </w:num>
  <w:num w:numId="6">
    <w:abstractNumId w:val="4"/>
  </w:num>
  <w:num w:numId="7">
    <w:abstractNumId w:val="8"/>
  </w:num>
  <w:num w:numId="8">
    <w:abstractNumId w:val="6"/>
  </w:num>
  <w:num w:numId="9">
    <w:abstractNumId w:val="5"/>
  </w:num>
  <w:num w:numId="10">
    <w:abstractNumId w:val="0"/>
  </w:num>
  <w:num w:numId="11">
    <w:abstractNumId w:val="14"/>
  </w:num>
  <w:num w:numId="12">
    <w:abstractNumId w:val="1"/>
  </w:num>
  <w:num w:numId="13">
    <w:abstractNumId w:val="12"/>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F8D"/>
    <w:rsid w:val="00014021"/>
    <w:rsid w:val="00023D34"/>
    <w:rsid w:val="000958EE"/>
    <w:rsid w:val="000A5656"/>
    <w:rsid w:val="000A6373"/>
    <w:rsid w:val="000C3E9C"/>
    <w:rsid w:val="000C755B"/>
    <w:rsid w:val="00103006"/>
    <w:rsid w:val="001245AC"/>
    <w:rsid w:val="00165575"/>
    <w:rsid w:val="001B1EDD"/>
    <w:rsid w:val="001D7305"/>
    <w:rsid w:val="002114BA"/>
    <w:rsid w:val="00220463"/>
    <w:rsid w:val="00267A5B"/>
    <w:rsid w:val="002F383F"/>
    <w:rsid w:val="00305C28"/>
    <w:rsid w:val="00341F33"/>
    <w:rsid w:val="00390ED8"/>
    <w:rsid w:val="00473E8F"/>
    <w:rsid w:val="00485D6D"/>
    <w:rsid w:val="00492C8A"/>
    <w:rsid w:val="004B11C9"/>
    <w:rsid w:val="00510CBE"/>
    <w:rsid w:val="00566D69"/>
    <w:rsid w:val="005E3F15"/>
    <w:rsid w:val="0062185A"/>
    <w:rsid w:val="006636E5"/>
    <w:rsid w:val="006958F3"/>
    <w:rsid w:val="006B052B"/>
    <w:rsid w:val="006C435C"/>
    <w:rsid w:val="00723C9B"/>
    <w:rsid w:val="00726AA6"/>
    <w:rsid w:val="0077180C"/>
    <w:rsid w:val="008F5496"/>
    <w:rsid w:val="008F5B3C"/>
    <w:rsid w:val="0090135D"/>
    <w:rsid w:val="00920F8D"/>
    <w:rsid w:val="00926A59"/>
    <w:rsid w:val="009504EF"/>
    <w:rsid w:val="00972AEB"/>
    <w:rsid w:val="009878C5"/>
    <w:rsid w:val="009B7079"/>
    <w:rsid w:val="009E11B7"/>
    <w:rsid w:val="009F14D7"/>
    <w:rsid w:val="00AE49F8"/>
    <w:rsid w:val="00B047ED"/>
    <w:rsid w:val="00B23AC1"/>
    <w:rsid w:val="00B97412"/>
    <w:rsid w:val="00C440A4"/>
    <w:rsid w:val="00C66FE6"/>
    <w:rsid w:val="00CF460D"/>
    <w:rsid w:val="00DD6E0F"/>
    <w:rsid w:val="00E15D0C"/>
    <w:rsid w:val="00E210D1"/>
    <w:rsid w:val="00E87DD2"/>
    <w:rsid w:val="00ED627C"/>
    <w:rsid w:val="00F43679"/>
    <w:rsid w:val="00F669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6373"/>
    <w:pPr>
      <w:spacing w:line="259" w:lineRule="auto"/>
      <w:ind w:left="6159"/>
    </w:pPr>
    <w:rPr>
      <w:rFonts w:eastAsia="Calibri" w:cs="Calibri"/>
      <w:b/>
      <w:color w:val="000000"/>
      <w:sz w:val="22"/>
      <w:szCs w:val="2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0A6373"/>
    <w:rPr>
      <w:sz w:val="22"/>
      <w:szCs w:val="22"/>
    </w:rPr>
    <w:tblPr>
      <w:tblCellMar>
        <w:top w:w="0" w:type="dxa"/>
        <w:left w:w="0" w:type="dxa"/>
        <w:bottom w:w="0" w:type="dxa"/>
        <w:right w:w="0" w:type="dxa"/>
      </w:tblCellMar>
    </w:tblPr>
  </w:style>
  <w:style w:type="paragraph" w:styleId="Zpat">
    <w:name w:val="footer"/>
    <w:basedOn w:val="Normln"/>
    <w:link w:val="ZpatChar"/>
    <w:uiPriority w:val="99"/>
    <w:unhideWhenUsed/>
    <w:rsid w:val="004B11C9"/>
    <w:pPr>
      <w:tabs>
        <w:tab w:val="center" w:pos="4680"/>
        <w:tab w:val="right" w:pos="9360"/>
      </w:tabs>
      <w:spacing w:line="240" w:lineRule="auto"/>
      <w:ind w:left="0"/>
    </w:pPr>
    <w:rPr>
      <w:rFonts w:cs="Times New Roman"/>
      <w:b w:val="0"/>
      <w:color w:val="auto"/>
      <w:sz w:val="21"/>
      <w:szCs w:val="21"/>
      <w:u w:val="none"/>
      <w:lang/>
    </w:rPr>
  </w:style>
  <w:style w:type="character" w:customStyle="1" w:styleId="ZpatChar">
    <w:name w:val="Zápatí Char"/>
    <w:link w:val="Zpat"/>
    <w:uiPriority w:val="99"/>
    <w:rsid w:val="004B11C9"/>
    <w:rPr>
      <w:rFonts w:eastAsia="Calibri"/>
      <w:sz w:val="21"/>
      <w:szCs w:val="21"/>
    </w:rPr>
  </w:style>
  <w:style w:type="paragraph" w:styleId="Textbubliny">
    <w:name w:val="Balloon Text"/>
    <w:basedOn w:val="Normln"/>
    <w:link w:val="TextbublinyChar"/>
    <w:uiPriority w:val="99"/>
    <w:semiHidden/>
    <w:unhideWhenUsed/>
    <w:rsid w:val="004B11C9"/>
    <w:pPr>
      <w:spacing w:line="240" w:lineRule="auto"/>
    </w:pPr>
    <w:rPr>
      <w:rFonts w:ascii="Tahoma" w:hAnsi="Tahoma" w:cs="Times New Roman"/>
      <w:sz w:val="16"/>
      <w:szCs w:val="16"/>
      <w:lang/>
    </w:rPr>
  </w:style>
  <w:style w:type="character" w:customStyle="1" w:styleId="TextbublinyChar">
    <w:name w:val="Text bubliny Char"/>
    <w:link w:val="Textbubliny"/>
    <w:uiPriority w:val="99"/>
    <w:semiHidden/>
    <w:rsid w:val="004B11C9"/>
    <w:rPr>
      <w:rFonts w:ascii="Tahoma" w:eastAsia="Calibri" w:hAnsi="Tahoma" w:cs="Tahoma"/>
      <w:b/>
      <w:color w:val="000000"/>
      <w:sz w:val="16"/>
      <w:szCs w:val="16"/>
      <w:u w:val="single" w:color="000000"/>
    </w:rPr>
  </w:style>
  <w:style w:type="table" w:styleId="Mkatabulky">
    <w:name w:val="Table Grid"/>
    <w:basedOn w:val="Normlntabulka"/>
    <w:uiPriority w:val="39"/>
    <w:rsid w:val="00267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504EF"/>
    <w:pPr>
      <w:ind w:left="720"/>
      <w:contextualSpacing/>
    </w:pPr>
  </w:style>
  <w:style w:type="paragraph" w:styleId="Textpoznpodarou">
    <w:name w:val="footnote text"/>
    <w:basedOn w:val="Normln"/>
    <w:link w:val="TextpoznpodarouChar"/>
    <w:uiPriority w:val="99"/>
    <w:semiHidden/>
    <w:unhideWhenUsed/>
    <w:rsid w:val="000A5656"/>
    <w:pPr>
      <w:spacing w:line="240" w:lineRule="auto"/>
    </w:pPr>
    <w:rPr>
      <w:rFonts w:cs="Times New Roman"/>
      <w:sz w:val="20"/>
      <w:szCs w:val="20"/>
      <w:lang/>
    </w:rPr>
  </w:style>
  <w:style w:type="character" w:customStyle="1" w:styleId="TextpoznpodarouChar">
    <w:name w:val="Text pozn. pod čarou Char"/>
    <w:link w:val="Textpoznpodarou"/>
    <w:uiPriority w:val="99"/>
    <w:semiHidden/>
    <w:rsid w:val="000A5656"/>
    <w:rPr>
      <w:rFonts w:ascii="Calibri" w:eastAsia="Calibri" w:hAnsi="Calibri" w:cs="Calibri"/>
      <w:b/>
      <w:color w:val="000000"/>
      <w:sz w:val="20"/>
      <w:szCs w:val="20"/>
      <w:u w:val="single" w:color="000000"/>
    </w:rPr>
  </w:style>
  <w:style w:type="character" w:styleId="Znakapoznpodarou">
    <w:name w:val="footnote reference"/>
    <w:uiPriority w:val="99"/>
    <w:semiHidden/>
    <w:unhideWhenUsed/>
    <w:rsid w:val="000A5656"/>
    <w:rPr>
      <w:vertAlign w:val="superscript"/>
    </w:rPr>
  </w:style>
  <w:style w:type="paragraph" w:styleId="Textvysvtlivek">
    <w:name w:val="endnote text"/>
    <w:basedOn w:val="Normln"/>
    <w:link w:val="TextvysvtlivekChar"/>
    <w:uiPriority w:val="99"/>
    <w:semiHidden/>
    <w:unhideWhenUsed/>
    <w:rsid w:val="000958EE"/>
    <w:pPr>
      <w:spacing w:line="240" w:lineRule="auto"/>
    </w:pPr>
    <w:rPr>
      <w:rFonts w:cs="Times New Roman"/>
      <w:sz w:val="20"/>
      <w:szCs w:val="20"/>
      <w:lang/>
    </w:rPr>
  </w:style>
  <w:style w:type="character" w:customStyle="1" w:styleId="TextvysvtlivekChar">
    <w:name w:val="Text vysvětlivek Char"/>
    <w:link w:val="Textvysvtlivek"/>
    <w:uiPriority w:val="99"/>
    <w:semiHidden/>
    <w:rsid w:val="000958EE"/>
    <w:rPr>
      <w:rFonts w:ascii="Calibri" w:eastAsia="Calibri" w:hAnsi="Calibri" w:cs="Calibri"/>
      <w:b/>
      <w:color w:val="000000"/>
      <w:sz w:val="20"/>
      <w:szCs w:val="20"/>
      <w:u w:val="single" w:color="000000"/>
    </w:rPr>
  </w:style>
  <w:style w:type="character" w:styleId="Odkaznavysvtlivky">
    <w:name w:val="endnote reference"/>
    <w:uiPriority w:val="99"/>
    <w:semiHidden/>
    <w:unhideWhenUsed/>
    <w:rsid w:val="000958EE"/>
    <w:rPr>
      <w:vertAlign w:val="superscript"/>
    </w:rPr>
  </w:style>
  <w:style w:type="paragraph" w:customStyle="1" w:styleId="footnotedescription">
    <w:name w:val="footnote description"/>
    <w:next w:val="Normln"/>
    <w:link w:val="footnotedescriptionChar"/>
    <w:hidden/>
    <w:rsid w:val="00E210D1"/>
    <w:pPr>
      <w:spacing w:line="242" w:lineRule="auto"/>
    </w:pPr>
    <w:rPr>
      <w:rFonts w:eastAsia="Calibri" w:cs="Calibri"/>
      <w:color w:val="000000"/>
      <w:sz w:val="22"/>
      <w:szCs w:val="22"/>
    </w:rPr>
  </w:style>
  <w:style w:type="character" w:customStyle="1" w:styleId="footnotedescriptionChar">
    <w:name w:val="footnote description Char"/>
    <w:link w:val="footnotedescription"/>
    <w:rsid w:val="00E210D1"/>
    <w:rPr>
      <w:rFonts w:eastAsia="Calibri" w:cs="Calibri"/>
      <w:color w:val="000000"/>
      <w:sz w:val="22"/>
      <w:szCs w:val="22"/>
      <w:lang w:val="cs-CZ" w:eastAsia="cs-CZ" w:bidi="ar-SA"/>
    </w:rPr>
  </w:style>
  <w:style w:type="character" w:customStyle="1" w:styleId="footnotemark">
    <w:name w:val="footnote mark"/>
    <w:hidden/>
    <w:rsid w:val="00E210D1"/>
    <w:rPr>
      <w:rFonts w:ascii="Calibri" w:eastAsia="Calibri" w:hAnsi="Calibri" w:cs="Calibri"/>
      <w:color w:val="000000"/>
      <w:sz w:val="20"/>
      <w:vertAlign w:val="superscript"/>
    </w:rPr>
  </w:style>
  <w:style w:type="numbering" w:styleId="111111">
    <w:name w:val="Outline List 2"/>
    <w:basedOn w:val="Bezseznamu"/>
    <w:uiPriority w:val="99"/>
    <w:semiHidden/>
    <w:unhideWhenUsed/>
    <w:rsid w:val="00E210D1"/>
    <w:pPr>
      <w:numPr>
        <w:numId w:val="8"/>
      </w:numPr>
    </w:pPr>
  </w:style>
  <w:style w:type="paragraph" w:styleId="Zhlav">
    <w:name w:val="header"/>
    <w:basedOn w:val="Normln"/>
    <w:link w:val="ZhlavChar"/>
    <w:uiPriority w:val="99"/>
    <w:unhideWhenUsed/>
    <w:rsid w:val="006958F3"/>
    <w:pPr>
      <w:tabs>
        <w:tab w:val="center" w:pos="4536"/>
        <w:tab w:val="right" w:pos="9072"/>
      </w:tabs>
      <w:spacing w:after="200" w:line="276" w:lineRule="auto"/>
      <w:ind w:left="0"/>
    </w:pPr>
    <w:rPr>
      <w:rFonts w:cs="Times New Roman"/>
      <w:b w:val="0"/>
      <w:color w:val="auto"/>
      <w:sz w:val="20"/>
      <w:szCs w:val="20"/>
      <w:u w:val="none"/>
      <w:lang w:eastAsia="en-US"/>
    </w:rPr>
  </w:style>
  <w:style w:type="character" w:customStyle="1" w:styleId="ZhlavChar">
    <w:name w:val="Záhlaví Char"/>
    <w:link w:val="Zhlav"/>
    <w:uiPriority w:val="99"/>
    <w:rsid w:val="006958F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6FE3-2232-4D86-969A-0AF7079E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1478</Words>
  <Characters>8724</Characters>
  <Application>Microsoft Office Word</Application>
  <DocSecurity>0</DocSecurity>
  <Lines>72</Lines>
  <Paragraphs>20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Euroregion Beskidy</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Dagmar</cp:lastModifiedBy>
  <cp:revision>3</cp:revision>
  <dcterms:created xsi:type="dcterms:W3CDTF">2019-03-05T15:18:00Z</dcterms:created>
  <dcterms:modified xsi:type="dcterms:W3CDTF">2019-03-06T10:25:00Z</dcterms:modified>
</cp:coreProperties>
</file>